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600" w:lineRule="atLeast"/>
        <w:ind w:firstLine="880"/>
        <w:jc w:val="center"/>
        <w:rPr>
          <w:rFonts w:cs="Times New Roman" w:asciiTheme="majorEastAsia" w:hAnsiTheme="majorEastAsia" w:eastAsiaTheme="majorEastAsia"/>
          <w:b/>
          <w:sz w:val="36"/>
          <w:szCs w:val="36"/>
        </w:rPr>
      </w:pPr>
      <w:r>
        <w:rPr>
          <w:rFonts w:hint="eastAsia" w:cs="Times New Roman" w:asciiTheme="majorEastAsia" w:hAnsiTheme="majorEastAsia" w:eastAsiaTheme="majorEastAsia"/>
          <w:b/>
          <w:sz w:val="36"/>
          <w:szCs w:val="36"/>
        </w:rPr>
        <w:t>长沙县机关事务中心</w:t>
      </w:r>
    </w:p>
    <w:p>
      <w:pPr>
        <w:pStyle w:val="4"/>
        <w:shd w:val="clear" w:color="auto" w:fill="FFFFFF"/>
        <w:spacing w:line="600" w:lineRule="atLeast"/>
        <w:ind w:firstLine="880"/>
        <w:jc w:val="center"/>
        <w:rPr>
          <w:rFonts w:cs="Times New Roman" w:asciiTheme="majorEastAsia" w:hAnsiTheme="majorEastAsia" w:eastAsiaTheme="majorEastAsia"/>
          <w:b/>
          <w:sz w:val="36"/>
          <w:szCs w:val="36"/>
        </w:rPr>
      </w:pPr>
      <w:r>
        <w:rPr>
          <w:rFonts w:hint="eastAsia" w:cs="Times New Roman" w:asciiTheme="majorEastAsia" w:hAnsiTheme="majorEastAsia" w:eastAsiaTheme="majorEastAsia"/>
          <w:b/>
          <w:sz w:val="36"/>
          <w:szCs w:val="36"/>
        </w:rPr>
        <w:t>2021年度部门整体支出绩效自评报告</w:t>
      </w:r>
    </w:p>
    <w:p>
      <w:pPr>
        <w:pStyle w:val="4"/>
        <w:shd w:val="clear" w:color="auto" w:fill="FFFFFF"/>
        <w:spacing w:line="600" w:lineRule="atLeast"/>
        <w:ind w:firstLine="880"/>
        <w:jc w:val="center"/>
        <w:rPr>
          <w:rFonts w:ascii="Times New Roman" w:hAnsi="Times New Roman" w:cs="Times New Roman"/>
          <w:sz w:val="21"/>
          <w:szCs w:val="21"/>
        </w:rPr>
      </w:pPr>
    </w:p>
    <w:p>
      <w:pPr>
        <w:pStyle w:val="4"/>
        <w:shd w:val="clear" w:color="auto" w:fill="FFFFFF"/>
        <w:spacing w:line="502" w:lineRule="atLeast"/>
        <w:jc w:val="both"/>
        <w:rPr>
          <w:rFonts w:ascii="仿宋" w:hAnsi="仿宋" w:eastAsia="仿宋" w:cs="Times New Roman"/>
          <w:b/>
          <w:sz w:val="32"/>
          <w:szCs w:val="32"/>
          <w:shd w:val="clear" w:color="auto" w:fill="FFFFFF"/>
        </w:rPr>
      </w:pPr>
      <w:r>
        <w:rPr>
          <w:rFonts w:hint="eastAsia" w:ascii="仿宋" w:hAnsi="仿宋" w:eastAsia="仿宋" w:cs="Times New Roman"/>
          <w:b/>
          <w:sz w:val="32"/>
          <w:szCs w:val="32"/>
          <w:shd w:val="clear" w:color="auto" w:fill="FFFFFF"/>
        </w:rPr>
        <w:t>一、部门基本情况</w:t>
      </w:r>
    </w:p>
    <w:p>
      <w:pPr>
        <w:pStyle w:val="4"/>
        <w:shd w:val="clear" w:color="auto" w:fill="FFFFFF"/>
        <w:spacing w:line="502" w:lineRule="atLeast"/>
        <w:jc w:val="both"/>
        <w:rPr>
          <w:rFonts w:ascii="仿宋" w:hAnsi="仿宋" w:eastAsia="仿宋" w:cs="Times New Roman"/>
          <w:b/>
          <w:sz w:val="32"/>
          <w:szCs w:val="32"/>
          <w:shd w:val="clear" w:color="auto" w:fill="FFFFFF"/>
        </w:rPr>
      </w:pPr>
      <w:r>
        <w:rPr>
          <w:rFonts w:hint="eastAsia" w:ascii="仿宋" w:hAnsi="仿宋" w:eastAsia="仿宋" w:cs="Times New Roman"/>
          <w:sz w:val="32"/>
          <w:szCs w:val="32"/>
          <w:shd w:val="clear" w:color="auto" w:fill="FFFFFF"/>
        </w:rPr>
        <w:t>（一）部门的职能职责。</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长沙县机关事务中心</w:t>
      </w:r>
      <w:r>
        <w:rPr>
          <w:rFonts w:hint="eastAsia" w:ascii="仿宋" w:hAnsi="仿宋" w:eastAsia="仿宋" w:cs="宋体"/>
          <w:bCs/>
          <w:sz w:val="32"/>
          <w:szCs w:val="32"/>
        </w:rPr>
        <w:t>贯彻</w:t>
      </w:r>
      <w:r>
        <w:rPr>
          <w:rFonts w:hint="eastAsia" w:ascii="仿宋" w:hAnsi="仿宋" w:eastAsia="仿宋" w:cs="___WRD_EMBED_SUB_46"/>
          <w:bCs/>
          <w:sz w:val="32"/>
          <w:szCs w:val="32"/>
        </w:rPr>
        <w:t>落实</w:t>
      </w:r>
      <w:r>
        <w:rPr>
          <w:rFonts w:hint="eastAsia" w:ascii="仿宋" w:hAnsi="仿宋" w:eastAsia="仿宋" w:cs="宋体"/>
          <w:bCs/>
          <w:sz w:val="32"/>
          <w:szCs w:val="32"/>
        </w:rPr>
        <w:t>党</w:t>
      </w:r>
      <w:r>
        <w:rPr>
          <w:rFonts w:hint="eastAsia" w:ascii="仿宋" w:hAnsi="仿宋" w:eastAsia="仿宋" w:cs="___WRD_EMBED_SUB_46"/>
          <w:bCs/>
          <w:sz w:val="32"/>
          <w:szCs w:val="32"/>
        </w:rPr>
        <w:t>中</w:t>
      </w:r>
      <w:r>
        <w:rPr>
          <w:rFonts w:hint="eastAsia" w:ascii="仿宋" w:hAnsi="仿宋" w:eastAsia="仿宋" w:cs="宋体"/>
          <w:bCs/>
          <w:sz w:val="32"/>
          <w:szCs w:val="32"/>
        </w:rPr>
        <w:t>央</w:t>
      </w:r>
      <w:r>
        <w:rPr>
          <w:rFonts w:hint="eastAsia" w:ascii="仿宋" w:hAnsi="仿宋" w:eastAsia="仿宋" w:cs="___WRD_EMBED_SUB_46"/>
          <w:bCs/>
          <w:sz w:val="32"/>
          <w:szCs w:val="32"/>
        </w:rPr>
        <w:t>和</w:t>
      </w:r>
      <w:r>
        <w:rPr>
          <w:rFonts w:hint="eastAsia" w:ascii="仿宋" w:hAnsi="仿宋" w:eastAsia="仿宋" w:cs="宋体"/>
          <w:bCs/>
          <w:sz w:val="32"/>
          <w:szCs w:val="32"/>
        </w:rPr>
        <w:t>省</w:t>
      </w:r>
      <w:r>
        <w:rPr>
          <w:rFonts w:hint="eastAsia" w:ascii="仿宋" w:hAnsi="仿宋" w:eastAsia="仿宋" w:cs="___WRD_EMBED_SUB_46"/>
          <w:bCs/>
          <w:sz w:val="32"/>
          <w:szCs w:val="32"/>
        </w:rPr>
        <w:t>委、市委、县委关于机关</w:t>
      </w:r>
      <w:r>
        <w:rPr>
          <w:rFonts w:hint="eastAsia" w:ascii="仿宋" w:hAnsi="仿宋" w:eastAsia="仿宋" w:cs="宋体"/>
          <w:bCs/>
          <w:sz w:val="32"/>
          <w:szCs w:val="32"/>
        </w:rPr>
        <w:t>后勤</w:t>
      </w:r>
      <w:r>
        <w:rPr>
          <w:rFonts w:hint="eastAsia" w:ascii="仿宋" w:hAnsi="仿宋" w:eastAsia="仿宋" w:cs="___WRD_EMBED_SUB_46"/>
          <w:bCs/>
          <w:sz w:val="32"/>
          <w:szCs w:val="32"/>
        </w:rPr>
        <w:t>体制改</w:t>
      </w:r>
      <w:r>
        <w:rPr>
          <w:rFonts w:hint="eastAsia" w:ascii="仿宋" w:hAnsi="仿宋" w:eastAsia="仿宋" w:cs="宋体"/>
          <w:bCs/>
          <w:sz w:val="32"/>
          <w:szCs w:val="32"/>
        </w:rPr>
        <w:t>革</w:t>
      </w:r>
      <w:r>
        <w:rPr>
          <w:rFonts w:hint="eastAsia" w:ascii="仿宋" w:hAnsi="仿宋" w:eastAsia="仿宋" w:cs="___WRD_EMBED_SUB_46"/>
          <w:bCs/>
          <w:sz w:val="32"/>
          <w:szCs w:val="32"/>
        </w:rPr>
        <w:t>的</w:t>
      </w:r>
      <w:r>
        <w:rPr>
          <w:rFonts w:hint="eastAsia" w:ascii="仿宋" w:hAnsi="仿宋" w:eastAsia="仿宋" w:cs="宋体"/>
          <w:bCs/>
          <w:sz w:val="32"/>
          <w:szCs w:val="32"/>
        </w:rPr>
        <w:t>方针</w:t>
      </w:r>
      <w:r>
        <w:rPr>
          <w:rFonts w:hint="eastAsia" w:ascii="仿宋" w:hAnsi="仿宋" w:eastAsia="仿宋" w:cs="___WRD_EMBED_SUB_46"/>
          <w:bCs/>
          <w:sz w:val="32"/>
          <w:szCs w:val="32"/>
        </w:rPr>
        <w:t>政</w:t>
      </w:r>
      <w:r>
        <w:rPr>
          <w:rFonts w:hint="eastAsia" w:ascii="仿宋" w:hAnsi="仿宋" w:eastAsia="仿宋" w:cs="宋体"/>
          <w:bCs/>
          <w:sz w:val="32"/>
          <w:szCs w:val="32"/>
        </w:rPr>
        <w:t>策</w:t>
      </w:r>
      <w:r>
        <w:rPr>
          <w:rFonts w:hint="eastAsia" w:ascii="仿宋" w:hAnsi="仿宋" w:eastAsia="仿宋" w:cs="___WRD_EMBED_SUB_46"/>
          <w:bCs/>
          <w:sz w:val="32"/>
          <w:szCs w:val="32"/>
        </w:rPr>
        <w:t>和决</w:t>
      </w:r>
      <w:r>
        <w:rPr>
          <w:rFonts w:hint="eastAsia" w:ascii="仿宋" w:hAnsi="仿宋" w:eastAsia="仿宋" w:cs="宋体"/>
          <w:bCs/>
          <w:sz w:val="32"/>
          <w:szCs w:val="32"/>
        </w:rPr>
        <w:t>策</w:t>
      </w:r>
      <w:r>
        <w:rPr>
          <w:rFonts w:hint="eastAsia" w:ascii="仿宋" w:hAnsi="仿宋" w:eastAsia="仿宋" w:cs="___WRD_EMBED_SUB_46"/>
          <w:bCs/>
          <w:sz w:val="32"/>
          <w:szCs w:val="32"/>
        </w:rPr>
        <w:t>部</w:t>
      </w:r>
      <w:r>
        <w:rPr>
          <w:rFonts w:hint="eastAsia" w:ascii="仿宋" w:hAnsi="仿宋" w:eastAsia="仿宋" w:cs="宋体"/>
          <w:bCs/>
          <w:sz w:val="32"/>
          <w:szCs w:val="32"/>
        </w:rPr>
        <w:t>署</w:t>
      </w:r>
      <w:r>
        <w:rPr>
          <w:rFonts w:hint="eastAsia" w:ascii="仿宋" w:hAnsi="仿宋" w:eastAsia="仿宋" w:cs="仿宋_GB2312"/>
          <w:bCs/>
          <w:sz w:val="32"/>
          <w:szCs w:val="32"/>
        </w:rPr>
        <w:t>,</w:t>
      </w:r>
      <w:r>
        <w:rPr>
          <w:rFonts w:hint="eastAsia" w:ascii="仿宋" w:hAnsi="仿宋" w:eastAsia="仿宋" w:cs="宋体"/>
          <w:bCs/>
          <w:sz w:val="32"/>
          <w:szCs w:val="32"/>
        </w:rPr>
        <w:t>在履</w:t>
      </w:r>
      <w:r>
        <w:rPr>
          <w:rFonts w:hint="eastAsia" w:ascii="仿宋" w:hAnsi="仿宋" w:eastAsia="仿宋" w:cs="___WRD_EMBED_SUB_46"/>
          <w:bCs/>
          <w:sz w:val="32"/>
          <w:szCs w:val="32"/>
        </w:rPr>
        <w:t>行职责过程中</w:t>
      </w:r>
      <w:r>
        <w:rPr>
          <w:rFonts w:hint="eastAsia" w:ascii="仿宋" w:hAnsi="仿宋" w:eastAsia="仿宋" w:cs="宋体"/>
          <w:bCs/>
          <w:sz w:val="32"/>
          <w:szCs w:val="32"/>
        </w:rPr>
        <w:t>坚持</w:t>
      </w:r>
      <w:r>
        <w:rPr>
          <w:rFonts w:hint="eastAsia" w:ascii="仿宋" w:hAnsi="仿宋" w:eastAsia="仿宋" w:cs="___WRD_EMBED_SUB_46"/>
          <w:bCs/>
          <w:sz w:val="32"/>
          <w:szCs w:val="32"/>
        </w:rPr>
        <w:t>和加强</w:t>
      </w:r>
      <w:r>
        <w:rPr>
          <w:rFonts w:hint="eastAsia" w:ascii="仿宋" w:hAnsi="仿宋" w:eastAsia="仿宋" w:cs="宋体"/>
          <w:bCs/>
          <w:sz w:val="32"/>
          <w:szCs w:val="32"/>
        </w:rPr>
        <w:t>党</w:t>
      </w:r>
      <w:r>
        <w:rPr>
          <w:rFonts w:hint="eastAsia" w:ascii="仿宋" w:hAnsi="仿宋" w:eastAsia="仿宋" w:cs="___WRD_EMBED_SUB_46"/>
          <w:bCs/>
          <w:sz w:val="32"/>
          <w:szCs w:val="32"/>
        </w:rPr>
        <w:t>对</w:t>
      </w:r>
      <w:r>
        <w:rPr>
          <w:rFonts w:hint="eastAsia" w:ascii="仿宋" w:hAnsi="仿宋" w:eastAsia="仿宋" w:cs="宋体"/>
          <w:bCs/>
          <w:sz w:val="32"/>
          <w:szCs w:val="32"/>
        </w:rPr>
        <w:t>党</w:t>
      </w:r>
      <w:r>
        <w:rPr>
          <w:rFonts w:hint="eastAsia" w:ascii="仿宋" w:hAnsi="仿宋" w:eastAsia="仿宋" w:cs="___WRD_EMBED_SUB_46"/>
          <w:bCs/>
          <w:sz w:val="32"/>
          <w:szCs w:val="32"/>
        </w:rPr>
        <w:t>政机关事务保障、服务工作的集中</w:t>
      </w:r>
      <w:r>
        <w:rPr>
          <w:rFonts w:hint="eastAsia" w:ascii="仿宋" w:hAnsi="仿宋" w:eastAsia="仿宋" w:cs="宋体"/>
          <w:bCs/>
          <w:sz w:val="32"/>
          <w:szCs w:val="32"/>
        </w:rPr>
        <w:t>统</w:t>
      </w:r>
      <w:r>
        <w:rPr>
          <w:rFonts w:hint="eastAsia" w:ascii="仿宋" w:hAnsi="仿宋" w:eastAsia="仿宋" w:cs="___WRD_EMBED_SUB_46"/>
          <w:bCs/>
          <w:sz w:val="32"/>
          <w:szCs w:val="32"/>
        </w:rPr>
        <w:t>一</w:t>
      </w:r>
      <w:r>
        <w:rPr>
          <w:rFonts w:hint="eastAsia" w:ascii="仿宋" w:hAnsi="仿宋" w:eastAsia="仿宋" w:cs="宋体"/>
          <w:bCs/>
          <w:sz w:val="32"/>
          <w:szCs w:val="32"/>
        </w:rPr>
        <w:t>领导</w:t>
      </w:r>
      <w:r>
        <w:rPr>
          <w:rFonts w:hint="eastAsia" w:ascii="仿宋" w:hAnsi="仿宋" w:eastAsia="仿宋" w:cs="___WRD_EMBED_SUB_46"/>
          <w:bCs/>
          <w:sz w:val="32"/>
          <w:szCs w:val="32"/>
        </w:rPr>
        <w:t>。主要职责是：</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w:t>
      </w:r>
      <w:r>
        <w:rPr>
          <w:rFonts w:hint="eastAsia" w:ascii="仿宋" w:hAnsi="仿宋" w:eastAsia="仿宋" w:cs="宋体"/>
          <w:bCs/>
          <w:sz w:val="32"/>
          <w:szCs w:val="32"/>
        </w:rPr>
        <w:t>负</w:t>
      </w:r>
      <w:r>
        <w:rPr>
          <w:rFonts w:hint="eastAsia" w:ascii="仿宋" w:hAnsi="仿宋" w:eastAsia="仿宋" w:cs="___WRD_EMBED_SUB_46"/>
          <w:bCs/>
          <w:sz w:val="32"/>
          <w:szCs w:val="32"/>
        </w:rPr>
        <w:t>责本级机关的机关事务保障和服务工作，制定本级机关</w:t>
      </w:r>
      <w:r>
        <w:rPr>
          <w:rFonts w:hint="eastAsia" w:ascii="仿宋" w:hAnsi="仿宋" w:eastAsia="仿宋" w:cs="宋体"/>
          <w:bCs/>
          <w:sz w:val="32"/>
          <w:szCs w:val="32"/>
        </w:rPr>
        <w:t>后勤</w:t>
      </w:r>
      <w:r>
        <w:rPr>
          <w:rFonts w:hint="eastAsia" w:ascii="仿宋" w:hAnsi="仿宋" w:eastAsia="仿宋" w:cs="___WRD_EMBED_SUB_46"/>
          <w:bCs/>
          <w:sz w:val="32"/>
          <w:szCs w:val="32"/>
        </w:rPr>
        <w:t>保障服务制度，确定机关</w:t>
      </w:r>
      <w:r>
        <w:rPr>
          <w:rFonts w:hint="eastAsia" w:ascii="仿宋" w:hAnsi="仿宋" w:eastAsia="仿宋" w:cs="宋体"/>
          <w:bCs/>
          <w:sz w:val="32"/>
          <w:szCs w:val="32"/>
        </w:rPr>
        <w:t>后勤</w:t>
      </w:r>
      <w:r>
        <w:rPr>
          <w:rFonts w:hint="eastAsia" w:ascii="仿宋" w:hAnsi="仿宋" w:eastAsia="仿宋" w:cs="___WRD_EMBED_SUB_46"/>
          <w:bCs/>
          <w:sz w:val="32"/>
          <w:szCs w:val="32"/>
        </w:rPr>
        <w:t>服</w:t>
      </w:r>
      <w:r>
        <w:rPr>
          <w:rFonts w:hint="eastAsia" w:ascii="仿宋" w:hAnsi="仿宋" w:eastAsia="仿宋" w:cs="仿宋_GB2312"/>
          <w:bCs/>
          <w:sz w:val="32"/>
          <w:szCs w:val="32"/>
        </w:rPr>
        <w:t>务项目和标</w:t>
      </w:r>
      <w:r>
        <w:rPr>
          <w:rFonts w:hint="eastAsia" w:ascii="仿宋" w:hAnsi="仿宋" w:eastAsia="仿宋" w:cs="宋体"/>
          <w:bCs/>
          <w:sz w:val="32"/>
          <w:szCs w:val="32"/>
        </w:rPr>
        <w:t>准</w:t>
      </w:r>
      <w:r>
        <w:rPr>
          <w:rFonts w:hint="eastAsia" w:ascii="仿宋" w:hAnsi="仿宋" w:eastAsia="仿宋" w:cs="___WRD_EMBED_SUB_46"/>
          <w:bCs/>
          <w:sz w:val="32"/>
          <w:szCs w:val="32"/>
        </w:rPr>
        <w:t>，维护机关工作正常秩序。</w:t>
      </w:r>
    </w:p>
    <w:p>
      <w:pPr>
        <w:ind w:firstLine="640" w:firstLineChars="200"/>
        <w:rPr>
          <w:rFonts w:ascii="仿宋" w:hAnsi="仿宋" w:eastAsia="仿宋" w:cs="仿宋_GB2312"/>
          <w:bCs/>
          <w:sz w:val="32"/>
          <w:szCs w:val="32"/>
        </w:rPr>
      </w:pPr>
      <w:r>
        <w:rPr>
          <w:rFonts w:hint="eastAsia" w:ascii="仿宋" w:hAnsi="仿宋" w:eastAsia="仿宋" w:cs="宋体"/>
          <w:bCs/>
          <w:sz w:val="32"/>
          <w:szCs w:val="32"/>
        </w:rPr>
        <w:t>2、负</w:t>
      </w:r>
      <w:r>
        <w:rPr>
          <w:rFonts w:hint="eastAsia" w:ascii="仿宋" w:hAnsi="仿宋" w:eastAsia="仿宋" w:cs="___WRD_EMBED_SUB_46"/>
          <w:bCs/>
          <w:sz w:val="32"/>
          <w:szCs w:val="32"/>
        </w:rPr>
        <w:t>责全县</w:t>
      </w:r>
      <w:r>
        <w:rPr>
          <w:rFonts w:hint="eastAsia" w:ascii="仿宋" w:hAnsi="仿宋" w:eastAsia="仿宋" w:cs="宋体"/>
          <w:bCs/>
          <w:sz w:val="32"/>
          <w:szCs w:val="32"/>
        </w:rPr>
        <w:t>党</w:t>
      </w:r>
      <w:r>
        <w:rPr>
          <w:rFonts w:hint="eastAsia" w:ascii="仿宋" w:hAnsi="仿宋" w:eastAsia="仿宋" w:cs="___WRD_EMBED_SUB_46"/>
          <w:bCs/>
          <w:sz w:val="32"/>
          <w:szCs w:val="32"/>
        </w:rPr>
        <w:t>政机关办公用房的</w:t>
      </w:r>
      <w:r>
        <w:rPr>
          <w:rFonts w:hint="eastAsia" w:ascii="仿宋" w:hAnsi="仿宋" w:eastAsia="仿宋" w:cs="宋体"/>
          <w:bCs/>
          <w:sz w:val="32"/>
          <w:szCs w:val="32"/>
        </w:rPr>
        <w:t>使</w:t>
      </w:r>
      <w:r>
        <w:rPr>
          <w:rFonts w:hint="eastAsia" w:ascii="仿宋" w:hAnsi="仿宋" w:eastAsia="仿宋" w:cs="___WRD_EMBED_SUB_46"/>
          <w:bCs/>
          <w:sz w:val="32"/>
          <w:szCs w:val="32"/>
        </w:rPr>
        <w:t>用</w:t>
      </w:r>
      <w:r>
        <w:rPr>
          <w:rFonts w:hint="eastAsia" w:ascii="仿宋" w:hAnsi="仿宋" w:eastAsia="仿宋" w:cs="宋体"/>
          <w:bCs/>
          <w:sz w:val="32"/>
          <w:szCs w:val="32"/>
        </w:rPr>
        <w:t>指导</w:t>
      </w:r>
      <w:r>
        <w:rPr>
          <w:rFonts w:hint="eastAsia" w:ascii="仿宋" w:hAnsi="仿宋" w:eastAsia="仿宋" w:cs="___WRD_EMBED_SUB_46"/>
          <w:bCs/>
          <w:sz w:val="32"/>
          <w:szCs w:val="32"/>
        </w:rPr>
        <w:t>，</w:t>
      </w:r>
      <w:r>
        <w:rPr>
          <w:rFonts w:hint="eastAsia" w:ascii="仿宋" w:hAnsi="仿宋" w:eastAsia="仿宋" w:cs="宋体"/>
          <w:bCs/>
          <w:sz w:val="32"/>
          <w:szCs w:val="32"/>
        </w:rPr>
        <w:t>负</w:t>
      </w:r>
      <w:r>
        <w:rPr>
          <w:rFonts w:hint="eastAsia" w:ascii="仿宋" w:hAnsi="仿宋" w:eastAsia="仿宋" w:cs="___WRD_EMBED_SUB_46"/>
          <w:bCs/>
          <w:sz w:val="32"/>
          <w:szCs w:val="32"/>
        </w:rPr>
        <w:t>责县</w:t>
      </w:r>
      <w:r>
        <w:rPr>
          <w:rFonts w:hint="eastAsia" w:ascii="仿宋" w:hAnsi="仿宋" w:eastAsia="仿宋" w:cs="宋体"/>
          <w:bCs/>
          <w:sz w:val="32"/>
          <w:szCs w:val="32"/>
        </w:rPr>
        <w:t>直</w:t>
      </w:r>
      <w:r>
        <w:rPr>
          <w:rFonts w:hint="eastAsia" w:ascii="仿宋" w:hAnsi="仿宋" w:eastAsia="仿宋" w:cs="___WRD_EMBED_SUB_46"/>
          <w:bCs/>
          <w:sz w:val="32"/>
          <w:szCs w:val="32"/>
        </w:rPr>
        <w:t>机关院落办公用房、</w:t>
      </w:r>
      <w:r>
        <w:rPr>
          <w:rFonts w:hint="eastAsia" w:ascii="仿宋" w:hAnsi="仿宋" w:eastAsia="仿宋" w:cs="宋体"/>
          <w:bCs/>
          <w:sz w:val="32"/>
          <w:szCs w:val="32"/>
        </w:rPr>
        <w:t>附</w:t>
      </w:r>
      <w:r>
        <w:rPr>
          <w:rFonts w:hint="eastAsia" w:ascii="仿宋" w:hAnsi="仿宋" w:eastAsia="仿宋" w:cs="___WRD_EMBED_SUB_46"/>
          <w:bCs/>
          <w:sz w:val="32"/>
          <w:szCs w:val="32"/>
        </w:rPr>
        <w:t>属用房、相关</w:t>
      </w:r>
      <w:r>
        <w:rPr>
          <w:rFonts w:hint="eastAsia" w:ascii="仿宋" w:hAnsi="仿宋" w:eastAsia="仿宋" w:cs="宋体"/>
          <w:bCs/>
          <w:sz w:val="32"/>
          <w:szCs w:val="32"/>
        </w:rPr>
        <w:t>土地</w:t>
      </w:r>
      <w:r>
        <w:rPr>
          <w:rFonts w:hint="eastAsia" w:ascii="仿宋" w:hAnsi="仿宋" w:eastAsia="仿宋" w:cs="___WRD_EMBED_SUB_46"/>
          <w:bCs/>
          <w:sz w:val="32"/>
          <w:szCs w:val="32"/>
        </w:rPr>
        <w:t>资</w:t>
      </w:r>
      <w:r>
        <w:rPr>
          <w:rFonts w:hint="eastAsia" w:ascii="仿宋" w:hAnsi="仿宋" w:eastAsia="仿宋" w:cs="宋体"/>
          <w:bCs/>
          <w:sz w:val="32"/>
          <w:szCs w:val="32"/>
        </w:rPr>
        <w:t>产权</w:t>
      </w:r>
      <w:r>
        <w:rPr>
          <w:rFonts w:hint="eastAsia" w:ascii="仿宋" w:hAnsi="仿宋" w:eastAsia="仿宋" w:cs="___WRD_EMBED_SUB_46"/>
          <w:bCs/>
          <w:sz w:val="32"/>
          <w:szCs w:val="32"/>
        </w:rPr>
        <w:t>属的</w:t>
      </w:r>
      <w:r>
        <w:rPr>
          <w:rFonts w:hint="eastAsia" w:ascii="仿宋" w:hAnsi="仿宋" w:eastAsia="仿宋" w:cs="宋体"/>
          <w:bCs/>
          <w:sz w:val="32"/>
          <w:szCs w:val="32"/>
        </w:rPr>
        <w:t>调配</w:t>
      </w:r>
      <w:r>
        <w:rPr>
          <w:rFonts w:hint="eastAsia" w:ascii="仿宋" w:hAnsi="仿宋" w:eastAsia="仿宋" w:cs="___WRD_EMBED_SUB_46"/>
          <w:bCs/>
          <w:sz w:val="32"/>
          <w:szCs w:val="32"/>
        </w:rPr>
        <w:t>、</w:t>
      </w:r>
      <w:r>
        <w:rPr>
          <w:rFonts w:hint="eastAsia" w:ascii="仿宋" w:hAnsi="仿宋" w:eastAsia="仿宋" w:cs="宋体"/>
          <w:bCs/>
          <w:sz w:val="32"/>
          <w:szCs w:val="32"/>
        </w:rPr>
        <w:t>处置</w:t>
      </w:r>
      <w:r>
        <w:rPr>
          <w:rFonts w:hint="eastAsia" w:ascii="仿宋" w:hAnsi="仿宋" w:eastAsia="仿宋" w:cs="___WRD_EMBED_SUB_46"/>
          <w:bCs/>
          <w:sz w:val="32"/>
          <w:szCs w:val="32"/>
        </w:rPr>
        <w:t>，</w:t>
      </w:r>
      <w:r>
        <w:rPr>
          <w:rFonts w:hint="eastAsia" w:ascii="仿宋" w:hAnsi="仿宋" w:eastAsia="仿宋" w:cs="宋体"/>
          <w:bCs/>
          <w:sz w:val="32"/>
          <w:szCs w:val="32"/>
        </w:rPr>
        <w:t>以</w:t>
      </w:r>
      <w:r>
        <w:rPr>
          <w:rFonts w:hint="eastAsia" w:ascii="仿宋" w:hAnsi="仿宋" w:eastAsia="仿宋" w:cs="___WRD_EMBED_SUB_46"/>
          <w:bCs/>
          <w:sz w:val="32"/>
          <w:szCs w:val="32"/>
        </w:rPr>
        <w:t>及办公用房和</w:t>
      </w:r>
      <w:r>
        <w:rPr>
          <w:rFonts w:hint="eastAsia" w:ascii="仿宋" w:hAnsi="仿宋" w:eastAsia="仿宋" w:cs="宋体"/>
          <w:bCs/>
          <w:sz w:val="32"/>
          <w:szCs w:val="32"/>
        </w:rPr>
        <w:t>附</w:t>
      </w:r>
      <w:r>
        <w:rPr>
          <w:rFonts w:hint="eastAsia" w:ascii="仿宋" w:hAnsi="仿宋" w:eastAsia="仿宋" w:cs="___WRD_EMBED_SUB_46"/>
          <w:bCs/>
          <w:sz w:val="32"/>
          <w:szCs w:val="32"/>
        </w:rPr>
        <w:t>属设施、设备的维护维</w:t>
      </w:r>
      <w:r>
        <w:rPr>
          <w:rFonts w:hint="eastAsia" w:ascii="仿宋" w:hAnsi="仿宋" w:eastAsia="仿宋" w:cs="宋体"/>
          <w:bCs/>
          <w:sz w:val="32"/>
          <w:szCs w:val="32"/>
        </w:rPr>
        <w:t>修</w:t>
      </w:r>
      <w:r>
        <w:rPr>
          <w:rFonts w:hint="eastAsia" w:ascii="仿宋" w:hAnsi="仿宋" w:eastAsia="仿宋" w:cs="___WRD_EMBED_SUB_46"/>
          <w:bCs/>
          <w:sz w:val="32"/>
          <w:szCs w:val="32"/>
        </w:rPr>
        <w:t>与改</w:t>
      </w:r>
      <w:r>
        <w:rPr>
          <w:rFonts w:hint="eastAsia" w:ascii="仿宋" w:hAnsi="仿宋" w:eastAsia="仿宋" w:cs="宋体"/>
          <w:bCs/>
          <w:sz w:val="32"/>
          <w:szCs w:val="32"/>
        </w:rPr>
        <w:t>造</w:t>
      </w:r>
      <w:r>
        <w:rPr>
          <w:rFonts w:hint="eastAsia" w:ascii="仿宋" w:hAnsi="仿宋" w:eastAsia="仿宋" w:cs="___WRD_EMBED_SUB_46"/>
          <w:bCs/>
          <w:sz w:val="32"/>
          <w:szCs w:val="32"/>
        </w:rPr>
        <w:t>工作。</w:t>
      </w:r>
      <w:r>
        <w:rPr>
          <w:rFonts w:hint="eastAsia" w:ascii="仿宋" w:hAnsi="仿宋" w:eastAsia="仿宋" w:cs="宋体"/>
          <w:bCs/>
          <w:sz w:val="32"/>
          <w:szCs w:val="32"/>
        </w:rPr>
        <w:t>负</w:t>
      </w:r>
      <w:r>
        <w:rPr>
          <w:rFonts w:hint="eastAsia" w:ascii="仿宋" w:hAnsi="仿宋" w:eastAsia="仿宋" w:cs="___WRD_EMBED_SUB_46"/>
          <w:bCs/>
          <w:sz w:val="32"/>
          <w:szCs w:val="32"/>
        </w:rPr>
        <w:t>责全县机关单位的</w:t>
      </w:r>
      <w:r>
        <w:rPr>
          <w:rFonts w:hint="eastAsia" w:ascii="仿宋" w:hAnsi="仿宋" w:eastAsia="仿宋" w:cs="宋体"/>
          <w:bCs/>
          <w:sz w:val="32"/>
          <w:szCs w:val="32"/>
        </w:rPr>
        <w:t>货</w:t>
      </w:r>
      <w:r>
        <w:rPr>
          <w:rFonts w:hint="eastAsia" w:ascii="仿宋" w:hAnsi="仿宋" w:eastAsia="仿宋" w:cs="___WRD_EMBED_SUB_46"/>
          <w:bCs/>
          <w:sz w:val="32"/>
          <w:szCs w:val="32"/>
        </w:rPr>
        <w:t>物、服务</w:t>
      </w:r>
      <w:r>
        <w:rPr>
          <w:rFonts w:hint="eastAsia" w:ascii="仿宋" w:hAnsi="仿宋" w:eastAsia="仿宋" w:cs="宋体"/>
          <w:bCs/>
          <w:sz w:val="32"/>
          <w:szCs w:val="32"/>
        </w:rPr>
        <w:t>类</w:t>
      </w:r>
      <w:r>
        <w:rPr>
          <w:rFonts w:hint="eastAsia" w:ascii="仿宋" w:hAnsi="仿宋" w:eastAsia="仿宋" w:cs="___WRD_EMBED_SUB_46"/>
          <w:bCs/>
          <w:sz w:val="32"/>
          <w:szCs w:val="32"/>
        </w:rPr>
        <w:t>政府采购工作。</w:t>
      </w:r>
      <w:r>
        <w:rPr>
          <w:rFonts w:hint="eastAsia" w:ascii="仿宋" w:hAnsi="仿宋" w:eastAsia="仿宋" w:cs="宋体"/>
          <w:bCs/>
          <w:sz w:val="32"/>
          <w:szCs w:val="32"/>
        </w:rPr>
        <w:t>负</w:t>
      </w:r>
      <w:r>
        <w:rPr>
          <w:rFonts w:hint="eastAsia" w:ascii="仿宋" w:hAnsi="仿宋" w:eastAsia="仿宋" w:cs="___WRD_EMBED_SUB_46"/>
          <w:bCs/>
          <w:sz w:val="32"/>
          <w:szCs w:val="32"/>
        </w:rPr>
        <w:t>责组织实施机关资</w:t>
      </w:r>
      <w:r>
        <w:rPr>
          <w:rFonts w:hint="eastAsia" w:ascii="仿宋" w:hAnsi="仿宋" w:eastAsia="仿宋" w:cs="宋体"/>
          <w:bCs/>
          <w:sz w:val="32"/>
          <w:szCs w:val="32"/>
        </w:rPr>
        <w:t>产</w:t>
      </w:r>
      <w:r>
        <w:rPr>
          <w:rFonts w:hint="eastAsia" w:ascii="仿宋" w:hAnsi="仿宋" w:eastAsia="仿宋" w:cs="___WRD_EMBED_SUB_46"/>
          <w:bCs/>
          <w:sz w:val="32"/>
          <w:szCs w:val="32"/>
        </w:rPr>
        <w:t>的管理和</w:t>
      </w:r>
      <w:r>
        <w:rPr>
          <w:rFonts w:hint="eastAsia" w:ascii="仿宋" w:hAnsi="仿宋" w:eastAsia="仿宋" w:cs="宋体"/>
          <w:bCs/>
          <w:sz w:val="32"/>
          <w:szCs w:val="32"/>
        </w:rPr>
        <w:t>处置</w:t>
      </w:r>
      <w:r>
        <w:rPr>
          <w:rFonts w:hint="eastAsia" w:ascii="仿宋" w:hAnsi="仿宋" w:eastAsia="仿宋" w:cs="___WRD_EMBED_SUB_46"/>
          <w:bCs/>
          <w:sz w:val="32"/>
          <w:szCs w:val="32"/>
        </w:rPr>
        <w:t>。</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3、</w:t>
      </w:r>
      <w:r>
        <w:rPr>
          <w:rFonts w:hint="eastAsia" w:ascii="仿宋" w:hAnsi="仿宋" w:eastAsia="仿宋" w:cs="宋体"/>
          <w:bCs/>
          <w:sz w:val="32"/>
          <w:szCs w:val="32"/>
        </w:rPr>
        <w:t>负</w:t>
      </w:r>
      <w:r>
        <w:rPr>
          <w:rFonts w:hint="eastAsia" w:ascii="仿宋" w:hAnsi="仿宋" w:eastAsia="仿宋" w:cs="___WRD_EMBED_SUB_46"/>
          <w:bCs/>
          <w:sz w:val="32"/>
          <w:szCs w:val="32"/>
        </w:rPr>
        <w:t>责由本单位管辖的县</w:t>
      </w:r>
      <w:r>
        <w:rPr>
          <w:rFonts w:hint="eastAsia" w:ascii="仿宋" w:hAnsi="仿宋" w:eastAsia="仿宋" w:cs="宋体"/>
          <w:bCs/>
          <w:sz w:val="32"/>
          <w:szCs w:val="32"/>
        </w:rPr>
        <w:t>直</w:t>
      </w:r>
      <w:r>
        <w:rPr>
          <w:rFonts w:hint="eastAsia" w:ascii="仿宋" w:hAnsi="仿宋" w:eastAsia="仿宋" w:cs="___WRD_EMBED_SUB_46"/>
          <w:bCs/>
          <w:sz w:val="32"/>
          <w:szCs w:val="32"/>
        </w:rPr>
        <w:t>办公院落安保等职责</w:t>
      </w:r>
      <w:r>
        <w:rPr>
          <w:rFonts w:hint="eastAsia" w:ascii="仿宋" w:hAnsi="仿宋" w:eastAsia="仿宋" w:cs="宋体"/>
          <w:bCs/>
          <w:sz w:val="32"/>
          <w:szCs w:val="32"/>
        </w:rPr>
        <w:t>范围</w:t>
      </w:r>
      <w:r>
        <w:rPr>
          <w:rFonts w:hint="eastAsia" w:ascii="仿宋" w:hAnsi="仿宋" w:eastAsia="仿宋" w:cs="___WRD_EMBED_SUB_46"/>
          <w:bCs/>
          <w:sz w:val="32"/>
          <w:szCs w:val="32"/>
        </w:rPr>
        <w:t>内的安全生</w:t>
      </w:r>
      <w:r>
        <w:rPr>
          <w:rFonts w:hint="eastAsia" w:ascii="仿宋" w:hAnsi="仿宋" w:eastAsia="仿宋" w:cs="宋体"/>
          <w:bCs/>
          <w:sz w:val="32"/>
          <w:szCs w:val="32"/>
        </w:rPr>
        <w:t>产</w:t>
      </w:r>
      <w:r>
        <w:rPr>
          <w:rFonts w:hint="eastAsia" w:ascii="仿宋" w:hAnsi="仿宋" w:eastAsia="仿宋" w:cs="___WRD_EMBED_SUB_46"/>
          <w:bCs/>
          <w:sz w:val="32"/>
          <w:szCs w:val="32"/>
        </w:rPr>
        <w:t>工作，</w:t>
      </w:r>
      <w:r>
        <w:rPr>
          <w:rFonts w:hint="eastAsia" w:ascii="仿宋" w:hAnsi="仿宋" w:eastAsia="仿宋" w:cs="宋体"/>
          <w:bCs/>
          <w:sz w:val="32"/>
          <w:szCs w:val="32"/>
        </w:rPr>
        <w:t>协助</w:t>
      </w:r>
      <w:r>
        <w:rPr>
          <w:rFonts w:hint="eastAsia" w:ascii="仿宋" w:hAnsi="仿宋" w:eastAsia="仿宋" w:cs="___WRD_EMBED_SUB_46"/>
          <w:bCs/>
          <w:sz w:val="32"/>
          <w:szCs w:val="32"/>
        </w:rPr>
        <w:t>相关部</w:t>
      </w:r>
      <w:r>
        <w:rPr>
          <w:rFonts w:hint="eastAsia" w:ascii="仿宋" w:hAnsi="仿宋" w:eastAsia="仿宋" w:cs="宋体"/>
          <w:bCs/>
          <w:sz w:val="32"/>
          <w:szCs w:val="32"/>
        </w:rPr>
        <w:t>门</w:t>
      </w:r>
      <w:r>
        <w:rPr>
          <w:rFonts w:hint="eastAsia" w:ascii="仿宋" w:hAnsi="仿宋" w:eastAsia="仿宋" w:cs="___WRD_EMBED_SUB_46"/>
          <w:bCs/>
          <w:sz w:val="32"/>
          <w:szCs w:val="32"/>
        </w:rPr>
        <w:t>维护县委、县政府大院的环境</w:t>
      </w:r>
      <w:r>
        <w:rPr>
          <w:rFonts w:hint="eastAsia" w:ascii="仿宋" w:hAnsi="仿宋" w:eastAsia="仿宋" w:cs="宋体"/>
          <w:bCs/>
          <w:sz w:val="32"/>
          <w:szCs w:val="32"/>
        </w:rPr>
        <w:t>稳</w:t>
      </w:r>
      <w:r>
        <w:rPr>
          <w:rFonts w:hint="eastAsia" w:ascii="仿宋" w:hAnsi="仿宋" w:eastAsia="仿宋" w:cs="___WRD_EMBED_SUB_46"/>
          <w:bCs/>
          <w:sz w:val="32"/>
          <w:szCs w:val="32"/>
        </w:rPr>
        <w:t>定。</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4、</w:t>
      </w:r>
      <w:r>
        <w:rPr>
          <w:rFonts w:hint="eastAsia" w:ascii="仿宋" w:hAnsi="仿宋" w:eastAsia="仿宋" w:cs="宋体"/>
          <w:bCs/>
          <w:sz w:val="32"/>
          <w:szCs w:val="32"/>
        </w:rPr>
        <w:t>负</w:t>
      </w:r>
      <w:r>
        <w:rPr>
          <w:rFonts w:hint="eastAsia" w:ascii="仿宋" w:hAnsi="仿宋" w:eastAsia="仿宋" w:cs="___WRD_EMBED_SUB_46"/>
          <w:bCs/>
          <w:sz w:val="32"/>
          <w:szCs w:val="32"/>
        </w:rPr>
        <w:t>责由本单位管辖的县</w:t>
      </w:r>
      <w:r>
        <w:rPr>
          <w:rFonts w:hint="eastAsia" w:ascii="仿宋" w:hAnsi="仿宋" w:eastAsia="仿宋" w:cs="宋体"/>
          <w:bCs/>
          <w:sz w:val="32"/>
          <w:szCs w:val="32"/>
        </w:rPr>
        <w:t>直</w:t>
      </w:r>
      <w:r>
        <w:rPr>
          <w:rFonts w:hint="eastAsia" w:ascii="仿宋" w:hAnsi="仿宋" w:eastAsia="仿宋" w:cs="___WRD_EMBED_SUB_46"/>
          <w:bCs/>
          <w:sz w:val="32"/>
          <w:szCs w:val="32"/>
        </w:rPr>
        <w:t>办公院落的物业管理，</w:t>
      </w:r>
      <w:r>
        <w:rPr>
          <w:rFonts w:hint="eastAsia" w:ascii="仿宋" w:hAnsi="仿宋" w:eastAsia="仿宋" w:cs="宋体"/>
          <w:bCs/>
          <w:sz w:val="32"/>
          <w:szCs w:val="32"/>
        </w:rPr>
        <w:t>指导</w:t>
      </w:r>
      <w:r>
        <w:rPr>
          <w:rFonts w:hint="eastAsia" w:ascii="仿宋" w:hAnsi="仿宋" w:eastAsia="仿宋" w:cs="___WRD_EMBED_SUB_46"/>
          <w:bCs/>
          <w:sz w:val="32"/>
          <w:szCs w:val="32"/>
        </w:rPr>
        <w:t>考核物业服务单位的工作，</w:t>
      </w:r>
      <w:r>
        <w:rPr>
          <w:rFonts w:hint="eastAsia" w:ascii="仿宋" w:hAnsi="仿宋" w:eastAsia="仿宋" w:cs="宋体"/>
          <w:bCs/>
          <w:sz w:val="32"/>
          <w:szCs w:val="32"/>
        </w:rPr>
        <w:t>负</w:t>
      </w:r>
      <w:r>
        <w:rPr>
          <w:rFonts w:hint="eastAsia" w:ascii="仿宋" w:hAnsi="仿宋" w:eastAsia="仿宋" w:cs="___WRD_EMBED_SUB_46"/>
          <w:bCs/>
          <w:sz w:val="32"/>
          <w:szCs w:val="32"/>
        </w:rPr>
        <w:t>责县</w:t>
      </w:r>
      <w:r>
        <w:rPr>
          <w:rFonts w:hint="eastAsia" w:ascii="仿宋" w:hAnsi="仿宋" w:eastAsia="仿宋" w:cs="宋体"/>
          <w:bCs/>
          <w:sz w:val="32"/>
          <w:szCs w:val="32"/>
        </w:rPr>
        <w:t>直</w:t>
      </w:r>
      <w:r>
        <w:rPr>
          <w:rFonts w:hint="eastAsia" w:ascii="仿宋" w:hAnsi="仿宋" w:eastAsia="仿宋" w:cs="___WRD_EMBED_SUB_46"/>
          <w:bCs/>
          <w:sz w:val="32"/>
          <w:szCs w:val="32"/>
        </w:rPr>
        <w:t>机关单位的卫生健</w:t>
      </w:r>
      <w:r>
        <w:rPr>
          <w:rFonts w:hint="eastAsia" w:ascii="仿宋" w:hAnsi="仿宋" w:eastAsia="仿宋" w:cs="宋体"/>
          <w:bCs/>
          <w:sz w:val="32"/>
          <w:szCs w:val="32"/>
        </w:rPr>
        <w:t>康</w:t>
      </w:r>
      <w:r>
        <w:rPr>
          <w:rFonts w:hint="eastAsia" w:ascii="仿宋" w:hAnsi="仿宋" w:eastAsia="仿宋" w:cs="___WRD_EMBED_SUB_46"/>
          <w:bCs/>
          <w:sz w:val="32"/>
          <w:szCs w:val="32"/>
        </w:rPr>
        <w:t>服务工作。</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5、</w:t>
      </w:r>
      <w:r>
        <w:rPr>
          <w:rFonts w:hint="eastAsia" w:ascii="仿宋" w:hAnsi="仿宋" w:eastAsia="仿宋" w:cs="宋体"/>
          <w:bCs/>
          <w:sz w:val="32"/>
          <w:szCs w:val="32"/>
        </w:rPr>
        <w:t>负</w:t>
      </w:r>
      <w:r>
        <w:rPr>
          <w:rFonts w:hint="eastAsia" w:ascii="仿宋" w:hAnsi="仿宋" w:eastAsia="仿宋" w:cs="___WRD_EMBED_SUB_46"/>
          <w:bCs/>
          <w:sz w:val="32"/>
          <w:szCs w:val="32"/>
        </w:rPr>
        <w:t>责全县公务用</w:t>
      </w:r>
      <w:r>
        <w:rPr>
          <w:rFonts w:hint="eastAsia" w:ascii="仿宋" w:hAnsi="仿宋" w:eastAsia="仿宋" w:cs="宋体"/>
          <w:bCs/>
          <w:sz w:val="32"/>
          <w:szCs w:val="32"/>
        </w:rPr>
        <w:t>车平台</w:t>
      </w:r>
      <w:r>
        <w:rPr>
          <w:rFonts w:hint="eastAsia" w:ascii="仿宋" w:hAnsi="仿宋" w:eastAsia="仿宋" w:cs="___WRD_EMBED_SUB_46"/>
          <w:bCs/>
          <w:sz w:val="32"/>
          <w:szCs w:val="32"/>
        </w:rPr>
        <w:t>的</w:t>
      </w:r>
      <w:r>
        <w:rPr>
          <w:rFonts w:hint="eastAsia" w:ascii="仿宋" w:hAnsi="仿宋" w:eastAsia="仿宋" w:cs="宋体"/>
          <w:bCs/>
          <w:sz w:val="32"/>
          <w:szCs w:val="32"/>
        </w:rPr>
        <w:t>车辆</w:t>
      </w:r>
      <w:r>
        <w:rPr>
          <w:rFonts w:hint="eastAsia" w:ascii="仿宋" w:hAnsi="仿宋" w:eastAsia="仿宋" w:cs="___WRD_EMBED_SUB_46"/>
          <w:bCs/>
          <w:sz w:val="32"/>
          <w:szCs w:val="32"/>
        </w:rPr>
        <w:t>及</w:t>
      </w:r>
      <w:r>
        <w:rPr>
          <w:rFonts w:hint="eastAsia" w:ascii="仿宋" w:hAnsi="仿宋" w:eastAsia="仿宋" w:cs="宋体"/>
          <w:bCs/>
          <w:sz w:val="32"/>
          <w:szCs w:val="32"/>
        </w:rPr>
        <w:t>驾驶</w:t>
      </w:r>
      <w:r>
        <w:rPr>
          <w:rFonts w:hint="eastAsia" w:ascii="仿宋" w:hAnsi="仿宋" w:eastAsia="仿宋" w:cs="___WRD_EMBED_SUB_46"/>
          <w:bCs/>
          <w:sz w:val="32"/>
          <w:szCs w:val="32"/>
        </w:rPr>
        <w:t>员日常管理；</w:t>
      </w:r>
      <w:r>
        <w:rPr>
          <w:rFonts w:hint="eastAsia" w:ascii="仿宋" w:hAnsi="仿宋" w:eastAsia="仿宋" w:cs="宋体"/>
          <w:bCs/>
          <w:sz w:val="32"/>
          <w:szCs w:val="32"/>
        </w:rPr>
        <w:t>负</w:t>
      </w:r>
      <w:r>
        <w:rPr>
          <w:rFonts w:hint="eastAsia" w:ascii="仿宋" w:hAnsi="仿宋" w:eastAsia="仿宋" w:cs="___WRD_EMBED_SUB_46"/>
          <w:bCs/>
          <w:sz w:val="32"/>
          <w:szCs w:val="32"/>
        </w:rPr>
        <w:t>责</w:t>
      </w:r>
      <w:r>
        <w:rPr>
          <w:rFonts w:hint="eastAsia" w:ascii="仿宋" w:hAnsi="仿宋" w:eastAsia="仿宋" w:cs="宋体"/>
          <w:bCs/>
          <w:sz w:val="32"/>
          <w:szCs w:val="32"/>
        </w:rPr>
        <w:t>指导</w:t>
      </w:r>
      <w:r>
        <w:rPr>
          <w:rFonts w:hint="eastAsia" w:ascii="仿宋" w:hAnsi="仿宋" w:eastAsia="仿宋" w:cs="___WRD_EMBED_SUB_46"/>
          <w:bCs/>
          <w:sz w:val="32"/>
          <w:szCs w:val="32"/>
        </w:rPr>
        <w:t>全县公务</w:t>
      </w:r>
      <w:r>
        <w:rPr>
          <w:rFonts w:hint="eastAsia" w:ascii="仿宋" w:hAnsi="仿宋" w:eastAsia="仿宋" w:cs="宋体"/>
          <w:bCs/>
          <w:sz w:val="32"/>
          <w:szCs w:val="32"/>
        </w:rPr>
        <w:t>租赁</w:t>
      </w:r>
      <w:r>
        <w:rPr>
          <w:rFonts w:hint="eastAsia" w:ascii="仿宋" w:hAnsi="仿宋" w:eastAsia="仿宋" w:cs="___WRD_EMBED_SUB_46"/>
          <w:bCs/>
          <w:sz w:val="32"/>
          <w:szCs w:val="32"/>
        </w:rPr>
        <w:t>用</w:t>
      </w:r>
      <w:r>
        <w:rPr>
          <w:rFonts w:hint="eastAsia" w:ascii="仿宋" w:hAnsi="仿宋" w:eastAsia="仿宋" w:cs="宋体"/>
          <w:bCs/>
          <w:sz w:val="32"/>
          <w:szCs w:val="32"/>
        </w:rPr>
        <w:t>车</w:t>
      </w:r>
      <w:r>
        <w:rPr>
          <w:rFonts w:hint="eastAsia" w:ascii="仿宋" w:hAnsi="仿宋" w:eastAsia="仿宋" w:cs="___WRD_EMBED_SUB_46"/>
          <w:bCs/>
          <w:sz w:val="32"/>
          <w:szCs w:val="32"/>
        </w:rPr>
        <w:t>的</w:t>
      </w:r>
      <w:r>
        <w:rPr>
          <w:rFonts w:hint="eastAsia" w:ascii="仿宋" w:hAnsi="仿宋" w:eastAsia="仿宋" w:cs="宋体"/>
          <w:bCs/>
          <w:sz w:val="32"/>
          <w:szCs w:val="32"/>
        </w:rPr>
        <w:t>使</w:t>
      </w:r>
      <w:r>
        <w:rPr>
          <w:rFonts w:hint="eastAsia" w:ascii="仿宋" w:hAnsi="仿宋" w:eastAsia="仿宋" w:cs="___WRD_EMBED_SUB_46"/>
          <w:bCs/>
          <w:sz w:val="32"/>
          <w:szCs w:val="32"/>
        </w:rPr>
        <w:t>用、</w:t>
      </w:r>
      <w:r>
        <w:rPr>
          <w:rFonts w:hint="eastAsia" w:ascii="仿宋" w:hAnsi="仿宋" w:eastAsia="仿宋" w:cs="宋体"/>
          <w:bCs/>
          <w:sz w:val="32"/>
          <w:szCs w:val="32"/>
        </w:rPr>
        <w:t>报</w:t>
      </w:r>
      <w:r>
        <w:rPr>
          <w:rFonts w:hint="eastAsia" w:ascii="仿宋" w:hAnsi="仿宋" w:eastAsia="仿宋" w:cs="___WRD_EMBED_SUB_46"/>
          <w:bCs/>
          <w:sz w:val="32"/>
          <w:szCs w:val="32"/>
        </w:rPr>
        <w:t>备。</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6、</w:t>
      </w:r>
      <w:r>
        <w:rPr>
          <w:rFonts w:hint="eastAsia" w:ascii="仿宋" w:hAnsi="仿宋" w:eastAsia="仿宋" w:cs="宋体"/>
          <w:bCs/>
          <w:sz w:val="32"/>
          <w:szCs w:val="32"/>
        </w:rPr>
        <w:t>负</w:t>
      </w:r>
      <w:r>
        <w:rPr>
          <w:rFonts w:hint="eastAsia" w:ascii="仿宋" w:hAnsi="仿宋" w:eastAsia="仿宋" w:cs="___WRD_EMBED_SUB_46"/>
          <w:bCs/>
          <w:sz w:val="32"/>
          <w:szCs w:val="32"/>
        </w:rPr>
        <w:t>责县委、县人大、县政府、县政</w:t>
      </w:r>
      <w:r>
        <w:rPr>
          <w:rFonts w:hint="eastAsia" w:ascii="仿宋" w:hAnsi="仿宋" w:eastAsia="仿宋" w:cs="宋体"/>
          <w:bCs/>
          <w:sz w:val="32"/>
          <w:szCs w:val="32"/>
        </w:rPr>
        <w:t>协交</w:t>
      </w:r>
      <w:r>
        <w:rPr>
          <w:rFonts w:hint="eastAsia" w:ascii="仿宋" w:hAnsi="仿宋" w:eastAsia="仿宋" w:cs="___WRD_EMBED_SUB_46"/>
          <w:bCs/>
          <w:sz w:val="32"/>
          <w:szCs w:val="32"/>
        </w:rPr>
        <w:t>办的会</w:t>
      </w:r>
      <w:r>
        <w:rPr>
          <w:rFonts w:hint="eastAsia" w:ascii="仿宋" w:hAnsi="仿宋" w:eastAsia="仿宋" w:cs="宋体"/>
          <w:bCs/>
          <w:sz w:val="32"/>
          <w:szCs w:val="32"/>
        </w:rPr>
        <w:t>议</w:t>
      </w:r>
      <w:r>
        <w:rPr>
          <w:rFonts w:hint="eastAsia" w:ascii="仿宋" w:hAnsi="仿宋" w:eastAsia="仿宋" w:cs="___WRD_EMBED_SUB_46"/>
          <w:bCs/>
          <w:sz w:val="32"/>
          <w:szCs w:val="32"/>
        </w:rPr>
        <w:t>服务保障工作，</w:t>
      </w:r>
      <w:r>
        <w:rPr>
          <w:rFonts w:hint="eastAsia" w:ascii="仿宋" w:hAnsi="仿宋" w:eastAsia="仿宋" w:cs="宋体"/>
          <w:bCs/>
          <w:sz w:val="32"/>
          <w:szCs w:val="32"/>
        </w:rPr>
        <w:t>负</w:t>
      </w:r>
      <w:r>
        <w:rPr>
          <w:rFonts w:hint="eastAsia" w:ascii="仿宋" w:hAnsi="仿宋" w:eastAsia="仿宋" w:cs="___WRD_EMBED_SUB_46"/>
          <w:bCs/>
          <w:sz w:val="32"/>
          <w:szCs w:val="32"/>
        </w:rPr>
        <w:t>责由本单位管辖的机关干部职工</w:t>
      </w:r>
      <w:r>
        <w:rPr>
          <w:rFonts w:hint="eastAsia" w:ascii="仿宋" w:hAnsi="仿宋" w:eastAsia="仿宋" w:cs="宋体"/>
          <w:bCs/>
          <w:sz w:val="32"/>
          <w:szCs w:val="32"/>
        </w:rPr>
        <w:t>食堂</w:t>
      </w:r>
      <w:r>
        <w:rPr>
          <w:rFonts w:hint="eastAsia" w:ascii="仿宋" w:hAnsi="仿宋" w:eastAsia="仿宋" w:cs="___WRD_EMBED_SUB_46"/>
          <w:bCs/>
          <w:sz w:val="32"/>
          <w:szCs w:val="32"/>
        </w:rPr>
        <w:t>的</w:t>
      </w:r>
      <w:r>
        <w:rPr>
          <w:rFonts w:hint="eastAsia" w:ascii="仿宋" w:hAnsi="仿宋" w:eastAsia="仿宋" w:cs="宋体"/>
          <w:bCs/>
          <w:sz w:val="32"/>
          <w:szCs w:val="32"/>
        </w:rPr>
        <w:t>运营指导</w:t>
      </w:r>
      <w:r>
        <w:rPr>
          <w:rFonts w:hint="eastAsia" w:ascii="仿宋" w:hAnsi="仿宋" w:eastAsia="仿宋" w:cs="___WRD_EMBED_SUB_46"/>
          <w:bCs/>
          <w:sz w:val="32"/>
          <w:szCs w:val="32"/>
        </w:rPr>
        <w:t>和</w:t>
      </w:r>
      <w:r>
        <w:rPr>
          <w:rFonts w:hint="eastAsia" w:ascii="仿宋" w:hAnsi="仿宋" w:eastAsia="仿宋" w:cs="宋体"/>
          <w:bCs/>
          <w:sz w:val="32"/>
          <w:szCs w:val="32"/>
        </w:rPr>
        <w:t>协调</w:t>
      </w:r>
      <w:r>
        <w:rPr>
          <w:rFonts w:hint="eastAsia" w:ascii="仿宋" w:hAnsi="仿宋" w:eastAsia="仿宋" w:cs="___WRD_EMBED_SUB_46"/>
          <w:bCs/>
          <w:sz w:val="32"/>
          <w:szCs w:val="32"/>
        </w:rPr>
        <w:t>。</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7、</w:t>
      </w:r>
      <w:r>
        <w:rPr>
          <w:rFonts w:hint="eastAsia" w:ascii="仿宋" w:hAnsi="仿宋" w:eastAsia="仿宋" w:cs="___WRD_EMBED_SUB_46"/>
          <w:bCs/>
          <w:sz w:val="32"/>
          <w:szCs w:val="32"/>
        </w:rPr>
        <w:t>完成县委、县政府</w:t>
      </w:r>
      <w:r>
        <w:rPr>
          <w:rFonts w:hint="eastAsia" w:ascii="仿宋" w:hAnsi="仿宋" w:eastAsia="仿宋" w:cs="宋体"/>
          <w:bCs/>
          <w:sz w:val="32"/>
          <w:szCs w:val="32"/>
        </w:rPr>
        <w:t>交</w:t>
      </w:r>
      <w:r>
        <w:rPr>
          <w:rFonts w:hint="eastAsia" w:ascii="仿宋" w:hAnsi="仿宋" w:eastAsia="仿宋" w:cs="___WRD_EMBED_SUB_46"/>
          <w:bCs/>
          <w:sz w:val="32"/>
          <w:szCs w:val="32"/>
        </w:rPr>
        <w:t>办的</w:t>
      </w:r>
      <w:r>
        <w:rPr>
          <w:rFonts w:hint="eastAsia" w:ascii="仿宋" w:hAnsi="仿宋" w:eastAsia="仿宋" w:cs="宋体"/>
          <w:bCs/>
          <w:sz w:val="32"/>
          <w:szCs w:val="32"/>
        </w:rPr>
        <w:t>其他</w:t>
      </w:r>
      <w:r>
        <w:rPr>
          <w:rFonts w:hint="eastAsia" w:ascii="仿宋" w:hAnsi="仿宋" w:eastAsia="仿宋" w:cs="___WRD_EMBED_SUB_46"/>
          <w:bCs/>
          <w:sz w:val="32"/>
          <w:szCs w:val="32"/>
        </w:rPr>
        <w:t>任务</w:t>
      </w:r>
      <w:r>
        <w:rPr>
          <w:rFonts w:hint="eastAsia" w:ascii="仿宋" w:hAnsi="仿宋" w:eastAsia="仿宋" w:cs="仿宋_GB2312"/>
          <w:bCs/>
          <w:sz w:val="32"/>
          <w:szCs w:val="32"/>
        </w:rPr>
        <w:t>。</w:t>
      </w:r>
    </w:p>
    <w:p>
      <w:pPr>
        <w:rPr>
          <w:rFonts w:ascii="仿宋" w:hAnsi="仿宋" w:eastAsia="仿宋"/>
          <w:sz w:val="32"/>
          <w:szCs w:val="32"/>
        </w:rPr>
      </w:pPr>
      <w:r>
        <w:rPr>
          <w:rFonts w:hint="eastAsia" w:ascii="仿宋" w:hAnsi="仿宋" w:eastAsia="仿宋"/>
          <w:sz w:val="32"/>
          <w:szCs w:val="32"/>
        </w:rPr>
        <w:t>(二) 部门的年度预算绩效目标。</w:t>
      </w:r>
    </w:p>
    <w:p>
      <w:pPr>
        <w:ind w:firstLine="640" w:firstLineChars="200"/>
        <w:rPr>
          <w:rFonts w:ascii="仿宋" w:hAnsi="仿宋" w:eastAsia="仿宋"/>
          <w:sz w:val="32"/>
          <w:szCs w:val="32"/>
        </w:rPr>
      </w:pPr>
      <w:r>
        <w:rPr>
          <w:rFonts w:hint="eastAsia" w:ascii="仿宋" w:hAnsi="仿宋" w:eastAsia="仿宋"/>
          <w:sz w:val="32"/>
          <w:szCs w:val="32"/>
        </w:rPr>
        <w:t>项目绩效总目标：机关大院安保管理、机关大院交通管理、食堂食品安全及生产消防有情工作在监管、会议服务管理、水电管理、环境卫生管理等各项业务工作任务圆满完成。</w:t>
      </w:r>
    </w:p>
    <w:p>
      <w:pPr>
        <w:ind w:firstLine="640" w:firstLineChars="200"/>
        <w:jc w:val="left"/>
        <w:rPr>
          <w:rFonts w:ascii="仿宋" w:hAnsi="仿宋" w:eastAsia="仿宋"/>
          <w:sz w:val="32"/>
          <w:szCs w:val="32"/>
        </w:rPr>
      </w:pPr>
      <w:r>
        <w:rPr>
          <w:rFonts w:hint="eastAsia" w:ascii="仿宋" w:hAnsi="仿宋" w:eastAsia="仿宋"/>
          <w:sz w:val="32"/>
          <w:szCs w:val="32"/>
        </w:rPr>
        <w:t>目标1:负责机关后勤保障和服务工作，确保县委县政府及县直机关14个办公院落在安保管理和日常维修维护工作，保障行政机关日常办公正常运转；</w:t>
      </w:r>
    </w:p>
    <w:p>
      <w:pPr>
        <w:ind w:firstLine="640" w:firstLineChars="200"/>
        <w:jc w:val="left"/>
        <w:rPr>
          <w:rFonts w:ascii="仿宋" w:hAnsi="仿宋" w:eastAsia="仿宋"/>
          <w:sz w:val="32"/>
          <w:szCs w:val="32"/>
        </w:rPr>
      </w:pPr>
      <w:r>
        <w:rPr>
          <w:rFonts w:hint="eastAsia" w:ascii="仿宋" w:hAnsi="仿宋" w:eastAsia="仿宋"/>
          <w:sz w:val="32"/>
          <w:szCs w:val="32"/>
        </w:rPr>
        <w:t>目标2：负责机关事务中心管辖范围内行政机关大院（共14个院落）在物业管理，水电气费用，保障行政机关日常办公正常运转；</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rPr>
        <w:t>目标3：公车服务，确保公务用车管理平台正常运转。公务用车平台自2016年12月成立以来，平台车辆实行标识化监管，集中管理，统一调度，有偿还使用，重点保障县领导公务、调研等用车保障工作；</w:t>
      </w:r>
    </w:p>
    <w:p>
      <w:pPr>
        <w:ind w:firstLine="640" w:firstLineChars="200"/>
        <w:jc w:val="left"/>
        <w:rPr>
          <w:rFonts w:ascii="仿宋" w:hAnsi="仿宋" w:eastAsia="仿宋"/>
          <w:sz w:val="32"/>
          <w:szCs w:val="32"/>
        </w:rPr>
      </w:pPr>
      <w:r>
        <w:rPr>
          <w:rFonts w:hint="eastAsia" w:ascii="仿宋" w:hAnsi="仿宋" w:eastAsia="仿宋"/>
          <w:sz w:val="32"/>
          <w:szCs w:val="32"/>
        </w:rPr>
        <w:t xml:space="preserve">    目标4：食堂食品安全监管，通过项目实施，保障机关干部职工就餐，加大宣传力度，减少浪费，推动机关健康事业在发展，打造幸福机关;</w:t>
      </w:r>
    </w:p>
    <w:p>
      <w:pPr>
        <w:ind w:firstLine="640" w:firstLineChars="200"/>
        <w:jc w:val="left"/>
        <w:rPr>
          <w:rFonts w:ascii="仿宋" w:hAnsi="仿宋" w:eastAsia="仿宋"/>
          <w:sz w:val="32"/>
          <w:szCs w:val="32"/>
        </w:rPr>
      </w:pPr>
      <w:r>
        <w:rPr>
          <w:rFonts w:hint="eastAsia" w:ascii="仿宋" w:hAnsi="仿宋" w:eastAsia="仿宋"/>
          <w:sz w:val="32"/>
          <w:szCs w:val="32"/>
        </w:rPr>
        <w:t>目标5：会议服务，减少一次性杯子在使用，确保满足政府机关和县直单位长期的会场使用需求。</w:t>
      </w:r>
    </w:p>
    <w:p>
      <w:pPr>
        <w:ind w:firstLine="640" w:firstLineChars="200"/>
        <w:jc w:val="left"/>
        <w:rPr>
          <w:rFonts w:ascii="仿宋" w:hAnsi="仿宋" w:eastAsia="仿宋"/>
          <w:sz w:val="32"/>
          <w:szCs w:val="32"/>
        </w:rPr>
      </w:pPr>
      <w:r>
        <w:rPr>
          <w:rFonts w:hint="eastAsia" w:ascii="仿宋" w:hAnsi="仿宋" w:eastAsia="仿宋"/>
          <w:sz w:val="32"/>
          <w:szCs w:val="32"/>
        </w:rPr>
        <w:t>二是加强工程、采购及建设项目的跟踪管理。</w:t>
      </w:r>
    </w:p>
    <w:p>
      <w:pPr>
        <w:ind w:firstLine="640" w:firstLineChars="200"/>
        <w:jc w:val="left"/>
        <w:rPr>
          <w:rFonts w:ascii="仿宋" w:hAnsi="仿宋" w:eastAsia="仿宋"/>
          <w:sz w:val="32"/>
          <w:szCs w:val="32"/>
        </w:rPr>
      </w:pPr>
      <w:r>
        <w:rPr>
          <w:rFonts w:hint="eastAsia" w:ascii="仿宋" w:hAnsi="仿宋" w:eastAsia="仿宋"/>
          <w:sz w:val="32"/>
          <w:szCs w:val="32"/>
        </w:rPr>
        <w:t xml:space="preserve">三是严格审批。 </w:t>
      </w:r>
    </w:p>
    <w:p>
      <w:pPr>
        <w:ind w:firstLine="640" w:firstLineChars="200"/>
        <w:jc w:val="left"/>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二、部门整体支出管理及使用情况</w:t>
      </w:r>
    </w:p>
    <w:p>
      <w:pPr>
        <w:rPr>
          <w:rFonts w:ascii="仿宋" w:hAnsi="仿宋" w:eastAsia="仿宋"/>
          <w:sz w:val="32"/>
          <w:szCs w:val="32"/>
        </w:rPr>
      </w:pPr>
      <w:r>
        <w:rPr>
          <w:rFonts w:hint="eastAsia" w:ascii="仿宋" w:hAnsi="仿宋" w:eastAsia="仿宋"/>
          <w:sz w:val="32"/>
          <w:szCs w:val="32"/>
        </w:rPr>
        <w:t>（一）基本支出情况</w:t>
      </w:r>
    </w:p>
    <w:p>
      <w:pPr>
        <w:ind w:firstLine="480" w:firstLineChars="15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21年基本支出2153.26万元，主要包括以下两个方面的支出：</w:t>
      </w:r>
    </w:p>
    <w:p>
      <w:pPr>
        <w:ind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、人员经费支出1948.93万元，用于根据国家规定安排的工资性支出、对个人和家庭补助等人员经费支出。</w:t>
      </w:r>
    </w:p>
    <w:p>
      <w:pPr>
        <w:ind w:firstLine="480" w:firstLineChars="1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日常运行公用经费支出204.33万元，用于按国家规定开支标准安排的保障机关正常运转的办公费、手续费、水电费、取暖费、物业管理费、行政差旅费、公务接待费、工会经费、维（护）修费、公务用车运行维护费、其他支出等日常运行公用经费支出。</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（二）项目支出</w:t>
      </w:r>
    </w:p>
    <w:p>
      <w:pPr>
        <w:ind w:firstLine="480" w:firstLineChars="15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21年项目支出14160.10万元，主要包括两个方面：</w:t>
      </w:r>
    </w:p>
    <w:p>
      <w:pPr>
        <w:ind w:firstLine="480" w:firstLineChars="150"/>
        <w:rPr>
          <w:rFonts w:ascii="仿宋" w:hAnsi="仿宋" w:eastAsia="仿宋"/>
          <w:sz w:val="32"/>
          <w:szCs w:val="32"/>
        </w:rPr>
      </w:pPr>
      <w:r>
        <w:rPr>
          <w:rFonts w:hint="eastAsia" w:ascii="仿宋" w:hAnsi="仿宋" w:eastAsia="仿宋"/>
          <w:sz w:val="32"/>
          <w:szCs w:val="32"/>
        </w:rPr>
        <w:t>1、机关服务一般性项目支出10203万元，主要用于政务中心和县直各单位集中办公的商务楼租金，</w:t>
      </w:r>
      <w:r>
        <w:rPr>
          <w:rFonts w:hint="eastAsia" w:ascii="仿宋" w:hAnsi="仿宋" w:eastAsia="仿宋"/>
          <w:sz w:val="32"/>
          <w:szCs w:val="32"/>
          <w:lang w:eastAsia="zh-CN"/>
        </w:rPr>
        <w:t>县委、县政府</w:t>
      </w:r>
      <w:r>
        <w:rPr>
          <w:rFonts w:hint="eastAsia" w:ascii="仿宋" w:hAnsi="仿宋" w:eastAsia="仿宋"/>
          <w:sz w:val="32"/>
          <w:szCs w:val="32"/>
        </w:rPr>
        <w:t>大院以及商务楼等11处县直机关办公院落的物业管理费、水电费、维修维护费、平台公务用车运行经费等支出。</w:t>
      </w:r>
    </w:p>
    <w:p>
      <w:pPr>
        <w:ind w:firstLine="480" w:firstLineChars="150"/>
        <w:rPr>
          <w:rFonts w:ascii="仿宋" w:hAnsi="仿宋" w:eastAsia="仿宋"/>
          <w:sz w:val="32"/>
          <w:szCs w:val="32"/>
        </w:rPr>
      </w:pPr>
      <w:r>
        <w:rPr>
          <w:rFonts w:hint="eastAsia" w:ascii="仿宋" w:hAnsi="仿宋" w:eastAsia="仿宋"/>
          <w:sz w:val="32"/>
          <w:szCs w:val="32"/>
        </w:rPr>
        <w:t>2、机关服务基本建设项目支出3957.10万元，主要用于县委、县政府机关大院空调改造；县委、县政府机关大院消防设施改造；县监察技术业务用房改造；县政府及机关单位办公院落日常维修维护等费用。</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（三）“三公”经费使用情况</w:t>
      </w:r>
    </w:p>
    <w:p>
      <w:pPr>
        <w:ind w:firstLine="480" w:firstLineChars="150"/>
        <w:rPr>
          <w:rFonts w:ascii="仿宋" w:hAnsi="仿宋" w:eastAsia="仿宋"/>
          <w:sz w:val="32"/>
          <w:szCs w:val="32"/>
        </w:rPr>
      </w:pPr>
      <w:r>
        <w:rPr>
          <w:rFonts w:hint="eastAsia" w:ascii="仿宋" w:hAnsi="仿宋" w:eastAsia="仿宋"/>
          <w:sz w:val="32"/>
          <w:szCs w:val="32"/>
        </w:rPr>
        <w:t>加大对“三公”经费管理，推进厉行节约反对浪费工作的制度化、规范化、程序化，确保“三公”经费各项要求落到实处。2021年我局“三公”经费支出预算总额722万元，实际支出总额719.55万元。具体情况如下：</w:t>
      </w:r>
    </w:p>
    <w:p>
      <w:pPr>
        <w:ind w:firstLine="480" w:firstLineChars="150"/>
        <w:rPr>
          <w:rFonts w:ascii="仿宋" w:hAnsi="仿宋" w:eastAsia="仿宋"/>
          <w:sz w:val="32"/>
          <w:szCs w:val="32"/>
        </w:rPr>
      </w:pPr>
      <w:r>
        <w:rPr>
          <w:rFonts w:hint="eastAsia" w:ascii="仿宋" w:hAnsi="仿宋" w:eastAsia="仿宋"/>
          <w:sz w:val="32"/>
          <w:szCs w:val="32"/>
        </w:rPr>
        <w:t>（1）、因公出国（境）费预算</w:t>
      </w:r>
      <w:r>
        <w:rPr>
          <w:rFonts w:ascii="仿宋" w:hAnsi="仿宋" w:eastAsia="仿宋"/>
          <w:sz w:val="32"/>
          <w:szCs w:val="32"/>
        </w:rPr>
        <w:t>0</w:t>
      </w:r>
      <w:r>
        <w:rPr>
          <w:rFonts w:hint="eastAsia" w:ascii="仿宋" w:hAnsi="仿宋" w:eastAsia="仿宋"/>
          <w:sz w:val="32"/>
          <w:szCs w:val="32"/>
        </w:rPr>
        <w:t>元，实际支出0元。</w:t>
      </w:r>
    </w:p>
    <w:p>
      <w:pPr>
        <w:ind w:firstLine="480" w:firstLineChars="150"/>
        <w:rPr>
          <w:rFonts w:ascii="仿宋" w:hAnsi="仿宋" w:eastAsia="仿宋"/>
          <w:sz w:val="32"/>
          <w:szCs w:val="32"/>
        </w:rPr>
      </w:pPr>
      <w:r>
        <w:rPr>
          <w:rFonts w:hint="eastAsia" w:ascii="仿宋" w:hAnsi="仿宋" w:eastAsia="仿宋"/>
          <w:sz w:val="32"/>
          <w:szCs w:val="32"/>
        </w:rPr>
        <w:t>（2）、公务用车购置及运行维护费年初预算720万元，实际支出717.8万元，占全年预算的99.7%，未超预算。</w:t>
      </w:r>
    </w:p>
    <w:p>
      <w:pPr>
        <w:ind w:firstLine="480" w:firstLineChars="150"/>
        <w:rPr>
          <w:rFonts w:ascii="仿宋" w:hAnsi="仿宋" w:eastAsia="仿宋"/>
          <w:sz w:val="32"/>
          <w:szCs w:val="32"/>
        </w:rPr>
      </w:pPr>
      <w:r>
        <w:rPr>
          <w:rFonts w:hint="eastAsia" w:ascii="仿宋" w:hAnsi="仿宋" w:eastAsia="仿宋"/>
          <w:sz w:val="32"/>
          <w:szCs w:val="32"/>
        </w:rPr>
        <w:t>（3）、公务接待费年初预算2万元，实际支出1.75万元，占全年预算的87.5</w:t>
      </w:r>
      <w:r>
        <w:rPr>
          <w:rFonts w:ascii="仿宋" w:hAnsi="仿宋" w:eastAsia="仿宋"/>
          <w:sz w:val="32"/>
          <w:szCs w:val="32"/>
        </w:rPr>
        <w:t>%</w:t>
      </w:r>
      <w:r>
        <w:rPr>
          <w:rFonts w:hint="eastAsia" w:ascii="仿宋" w:hAnsi="仿宋" w:eastAsia="仿宋"/>
          <w:sz w:val="32"/>
          <w:szCs w:val="32"/>
        </w:rPr>
        <w:t>，未超预算。</w:t>
      </w:r>
    </w:p>
    <w:p>
      <w:pPr>
        <w:rPr>
          <w:rFonts w:ascii="仿宋" w:hAnsi="仿宋" w:eastAsia="仿宋"/>
          <w:sz w:val="32"/>
          <w:szCs w:val="32"/>
        </w:rPr>
      </w:pPr>
    </w:p>
    <w:p>
      <w:pPr>
        <w:rPr>
          <w:rFonts w:ascii="仿宋" w:hAnsi="仿宋" w:eastAsia="仿宋"/>
          <w:b/>
          <w:sz w:val="32"/>
          <w:szCs w:val="32"/>
        </w:rPr>
      </w:pPr>
      <w:r>
        <w:rPr>
          <w:rFonts w:hint="eastAsia" w:ascii="仿宋" w:hAnsi="仿宋" w:eastAsia="仿宋"/>
          <w:b/>
          <w:sz w:val="32"/>
          <w:szCs w:val="32"/>
        </w:rPr>
        <w:t>三、部门整体支出绩效情况</w:t>
      </w:r>
    </w:p>
    <w:p>
      <w:pPr>
        <w:rPr>
          <w:rFonts w:ascii="仿宋" w:hAnsi="仿宋" w:eastAsia="仿宋"/>
          <w:sz w:val="32"/>
          <w:szCs w:val="32"/>
        </w:rPr>
      </w:pPr>
      <w:r>
        <w:rPr>
          <w:rFonts w:hint="eastAsia" w:ascii="仿宋" w:hAnsi="仿宋" w:eastAsia="仿宋"/>
          <w:sz w:val="32"/>
          <w:szCs w:val="32"/>
        </w:rPr>
        <w:t>（一）预算配置评价（在职人员控制率、“三公经费”变动率等）</w:t>
      </w:r>
    </w:p>
    <w:p>
      <w:pPr>
        <w:ind w:firstLine="480" w:firstLineChars="150"/>
        <w:rPr>
          <w:rFonts w:ascii="仿宋" w:hAnsi="仿宋" w:eastAsia="仿宋"/>
          <w:sz w:val="32"/>
          <w:szCs w:val="32"/>
        </w:rPr>
      </w:pPr>
      <w:r>
        <w:rPr>
          <w:rFonts w:hint="eastAsia" w:ascii="仿宋" w:hAnsi="仿宋" w:eastAsia="仿宋"/>
          <w:sz w:val="32"/>
          <w:szCs w:val="32"/>
        </w:rPr>
        <w:t>1、在职人员控制率</w:t>
      </w:r>
    </w:p>
    <w:p>
      <w:pPr>
        <w:ind w:firstLine="480" w:firstLineChars="150"/>
        <w:rPr>
          <w:rFonts w:ascii="仿宋" w:hAnsi="仿宋" w:eastAsia="仿宋"/>
          <w:sz w:val="32"/>
          <w:szCs w:val="32"/>
        </w:rPr>
      </w:pPr>
      <w:r>
        <w:rPr>
          <w:rFonts w:hint="eastAsia" w:ascii="仿宋" w:hAnsi="仿宋" w:eastAsia="仿宋"/>
          <w:sz w:val="32"/>
          <w:szCs w:val="32"/>
        </w:rPr>
        <w:t>2021年度我局在职人员47人，人员编制数51名，在职人员控制率为92%。</w:t>
      </w:r>
    </w:p>
    <w:p>
      <w:pPr>
        <w:ind w:firstLine="480" w:firstLineChars="150"/>
        <w:rPr>
          <w:rFonts w:ascii="仿宋" w:hAnsi="仿宋" w:eastAsia="仿宋"/>
          <w:sz w:val="32"/>
          <w:szCs w:val="32"/>
        </w:rPr>
      </w:pPr>
      <w:r>
        <w:rPr>
          <w:rFonts w:hint="eastAsia" w:ascii="仿宋" w:hAnsi="仿宋" w:eastAsia="仿宋"/>
          <w:sz w:val="32"/>
          <w:szCs w:val="32"/>
        </w:rPr>
        <w:t>2、“三公经费”变动率</w:t>
      </w:r>
    </w:p>
    <w:p>
      <w:pPr>
        <w:ind w:firstLine="480" w:firstLineChars="150"/>
        <w:rPr>
          <w:rFonts w:ascii="仿宋" w:hAnsi="仿宋" w:eastAsia="仿宋"/>
          <w:sz w:val="32"/>
          <w:szCs w:val="32"/>
        </w:rPr>
      </w:pPr>
      <w:r>
        <w:rPr>
          <w:rFonts w:hint="eastAsia" w:ascii="仿宋" w:hAnsi="仿宋" w:eastAsia="仿宋"/>
          <w:sz w:val="32"/>
          <w:szCs w:val="32"/>
        </w:rPr>
        <w:t>2021年“三公经费”预算总额为722万，2020年“三公经费”预算总额为716.8万，“三公经费”变动率为0.38%。</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（二）预算执行评价（项目资金预算完成率、支付进度率、公用经费控制率、“三公经费”控制率政府采购执行率）</w:t>
      </w:r>
    </w:p>
    <w:p>
      <w:pPr>
        <w:ind w:firstLine="480" w:firstLineChars="150"/>
        <w:rPr>
          <w:rFonts w:ascii="仿宋" w:hAnsi="仿宋" w:eastAsia="仿宋"/>
          <w:sz w:val="32"/>
          <w:szCs w:val="32"/>
        </w:rPr>
      </w:pPr>
      <w:r>
        <w:rPr>
          <w:rFonts w:hint="eastAsia" w:ascii="仿宋" w:hAnsi="仿宋" w:eastAsia="仿宋"/>
          <w:sz w:val="32"/>
          <w:szCs w:val="32"/>
        </w:rPr>
        <w:t>1、项目资金预算完成率</w:t>
      </w:r>
    </w:p>
    <w:p>
      <w:pPr>
        <w:ind w:firstLine="480" w:firstLineChars="150"/>
        <w:rPr>
          <w:rFonts w:ascii="仿宋" w:hAnsi="仿宋" w:eastAsia="仿宋"/>
          <w:sz w:val="32"/>
          <w:szCs w:val="32"/>
        </w:rPr>
      </w:pPr>
      <w:r>
        <w:rPr>
          <w:rFonts w:hint="eastAsia" w:ascii="仿宋" w:hAnsi="仿宋" w:eastAsia="仿宋"/>
          <w:sz w:val="32"/>
          <w:szCs w:val="32"/>
        </w:rPr>
        <w:t>2021年年初财政批复的预算数为12212.75万元，年中追加预算3096.44万元，预算完成数为14160.10万元，预算完成率为92.49%。</w:t>
      </w:r>
    </w:p>
    <w:p>
      <w:pPr>
        <w:ind w:firstLine="480" w:firstLineChars="150"/>
        <w:rPr>
          <w:rFonts w:ascii="仿宋" w:hAnsi="仿宋" w:eastAsia="仿宋"/>
          <w:sz w:val="32"/>
          <w:szCs w:val="32"/>
        </w:rPr>
      </w:pPr>
      <w:r>
        <w:rPr>
          <w:rFonts w:hint="eastAsia" w:ascii="仿宋" w:hAnsi="仿宋" w:eastAsia="仿宋"/>
          <w:sz w:val="32"/>
          <w:szCs w:val="32"/>
        </w:rPr>
        <w:t>3、公用经费控制率</w:t>
      </w:r>
    </w:p>
    <w:p>
      <w:pPr>
        <w:ind w:firstLine="480" w:firstLineChars="150"/>
        <w:rPr>
          <w:rFonts w:ascii="仿宋" w:hAnsi="仿宋" w:eastAsia="仿宋"/>
          <w:sz w:val="32"/>
          <w:szCs w:val="32"/>
        </w:rPr>
      </w:pPr>
      <w:r>
        <w:rPr>
          <w:rFonts w:hint="eastAsia" w:ascii="仿宋" w:hAnsi="仿宋" w:eastAsia="仿宋"/>
          <w:sz w:val="32"/>
          <w:szCs w:val="32"/>
        </w:rPr>
        <w:t xml:space="preserve">2021年实际支出公用经费总额为204.33万元，预算安排公用经费总额为209.14万元，公用经费控制率为97.7%。 </w:t>
      </w:r>
    </w:p>
    <w:p>
      <w:pPr>
        <w:ind w:firstLine="480" w:firstLineChars="150"/>
        <w:rPr>
          <w:rFonts w:ascii="仿宋" w:hAnsi="仿宋" w:eastAsia="仿宋"/>
          <w:sz w:val="32"/>
          <w:szCs w:val="32"/>
        </w:rPr>
      </w:pPr>
      <w:r>
        <w:rPr>
          <w:rFonts w:hint="eastAsia" w:ascii="仿宋" w:hAnsi="仿宋" w:eastAsia="仿宋"/>
          <w:sz w:val="32"/>
          <w:szCs w:val="32"/>
        </w:rPr>
        <w:t>4、“三公经费”控制率</w:t>
      </w:r>
    </w:p>
    <w:p>
      <w:pPr>
        <w:ind w:firstLine="480" w:firstLineChars="150"/>
        <w:rPr>
          <w:rFonts w:ascii="仿宋" w:hAnsi="仿宋" w:eastAsia="仿宋"/>
          <w:sz w:val="32"/>
          <w:szCs w:val="32"/>
        </w:rPr>
      </w:pPr>
      <w:r>
        <w:rPr>
          <w:rFonts w:hint="eastAsia" w:ascii="仿宋" w:hAnsi="仿宋" w:eastAsia="仿宋"/>
          <w:sz w:val="32"/>
          <w:szCs w:val="32"/>
        </w:rPr>
        <w:t>2021年“三公经费”预算安排数为719.54万元，实际支出数为722万元，“三公经费”控制率为99.66%。</w:t>
      </w:r>
    </w:p>
    <w:p>
      <w:pPr>
        <w:ind w:firstLine="480" w:firstLineChars="150"/>
        <w:rPr>
          <w:rFonts w:ascii="仿宋" w:hAnsi="仿宋" w:eastAsia="仿宋"/>
          <w:sz w:val="32"/>
          <w:szCs w:val="32"/>
        </w:rPr>
      </w:pPr>
      <w:r>
        <w:rPr>
          <w:rFonts w:hint="eastAsia" w:ascii="仿宋" w:hAnsi="仿宋" w:eastAsia="仿宋"/>
          <w:sz w:val="32"/>
          <w:szCs w:val="32"/>
        </w:rPr>
        <w:t>5、政府采购执行率</w:t>
      </w:r>
    </w:p>
    <w:p>
      <w:pPr>
        <w:ind w:firstLine="480" w:firstLineChars="150"/>
        <w:rPr>
          <w:rFonts w:ascii="仿宋" w:hAnsi="仿宋" w:eastAsia="仿宋"/>
          <w:sz w:val="32"/>
          <w:szCs w:val="32"/>
        </w:rPr>
      </w:pPr>
      <w:r>
        <w:rPr>
          <w:rFonts w:hint="eastAsia" w:ascii="仿宋" w:hAnsi="仿宋" w:eastAsia="仿宋"/>
          <w:sz w:val="32"/>
          <w:szCs w:val="32"/>
        </w:rPr>
        <w:t>2021年年初政府采购预算数为8368.85万元，实际政府采购数为8368.85万元，政府采购执行率为100%。</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（三）预算管理评价（管理制度健全情况、资金使用合规性、预决算公开性等）</w:t>
      </w:r>
    </w:p>
    <w:p>
      <w:pPr>
        <w:ind w:firstLine="480" w:firstLineChars="150"/>
        <w:rPr>
          <w:rFonts w:ascii="仿宋" w:hAnsi="仿宋" w:eastAsia="仿宋"/>
          <w:sz w:val="32"/>
          <w:szCs w:val="32"/>
        </w:rPr>
      </w:pPr>
      <w:r>
        <w:rPr>
          <w:rFonts w:hint="eastAsia" w:ascii="仿宋" w:hAnsi="仿宋" w:eastAsia="仿宋"/>
          <w:sz w:val="32"/>
          <w:szCs w:val="32"/>
        </w:rPr>
        <w:t>1、管理制度健全情况</w:t>
      </w:r>
    </w:p>
    <w:p>
      <w:pPr>
        <w:ind w:firstLine="480" w:firstLineChars="150"/>
        <w:rPr>
          <w:rFonts w:ascii="仿宋" w:hAnsi="仿宋" w:eastAsia="仿宋"/>
          <w:sz w:val="32"/>
          <w:szCs w:val="32"/>
        </w:rPr>
      </w:pPr>
      <w:r>
        <w:rPr>
          <w:rFonts w:hint="eastAsia" w:ascii="仿宋" w:hAnsi="仿宋" w:eastAsia="仿宋"/>
          <w:sz w:val="32"/>
          <w:szCs w:val="32"/>
        </w:rPr>
        <w:t>为规范机关财务管理，建立健全财务管理制度，我局制定了</w:t>
      </w:r>
      <w:r>
        <w:rPr>
          <w:rFonts w:hint="eastAsia" w:ascii="仿宋_GB2132" w:hAnsi="仿宋_GB2132" w:eastAsia="仿宋_GB2132" w:cs="仿宋_GB2132"/>
          <w:sz w:val="32"/>
          <w:szCs w:val="36"/>
        </w:rPr>
        <w:t>《</w:t>
      </w:r>
      <w:r>
        <w:rPr>
          <w:rFonts w:hint="eastAsia" w:ascii="仿宋_GB2312" w:eastAsia="仿宋_GB2312"/>
          <w:bCs/>
          <w:sz w:val="32"/>
          <w:szCs w:val="32"/>
        </w:rPr>
        <w:t>长沙县机关事务中心财务管理制度</w:t>
      </w:r>
      <w:r>
        <w:rPr>
          <w:rFonts w:hint="eastAsia" w:ascii="仿宋_GB2132" w:hAnsi="仿宋_GB2132" w:eastAsia="仿宋_GB2132" w:cs="仿宋_GB2132"/>
          <w:sz w:val="32"/>
          <w:szCs w:val="36"/>
        </w:rPr>
        <w:t>》、《</w:t>
      </w:r>
      <w:r>
        <w:rPr>
          <w:rFonts w:hint="eastAsia" w:ascii="仿宋_GB2312" w:eastAsia="仿宋_GB2312"/>
          <w:sz w:val="32"/>
          <w:szCs w:val="32"/>
        </w:rPr>
        <w:t>长沙县机关事务中心年度收支预算编制制度</w:t>
      </w:r>
      <w:r>
        <w:rPr>
          <w:rFonts w:hint="eastAsia" w:ascii="仿宋_GB2132" w:hAnsi="仿宋_GB2132" w:eastAsia="仿宋_GB2132" w:cs="仿宋_GB2132"/>
          <w:sz w:val="32"/>
          <w:szCs w:val="36"/>
        </w:rPr>
        <w:t>》、《</w:t>
      </w:r>
      <w:r>
        <w:rPr>
          <w:rFonts w:hint="eastAsia" w:ascii="仿宋_GB2312" w:eastAsia="仿宋_GB2312"/>
          <w:sz w:val="32"/>
          <w:szCs w:val="32"/>
        </w:rPr>
        <w:t>长沙县机关事务中心资金管理制度</w:t>
      </w:r>
      <w:r>
        <w:rPr>
          <w:rFonts w:hint="eastAsia" w:ascii="仿宋_GB2132" w:hAnsi="仿宋_GB2132" w:eastAsia="仿宋_GB2132" w:cs="仿宋_GB2132"/>
          <w:sz w:val="32"/>
          <w:szCs w:val="36"/>
        </w:rPr>
        <w:t>》、《</w:t>
      </w:r>
      <w:r>
        <w:rPr>
          <w:rFonts w:hint="eastAsia" w:ascii="仿宋_GB2312" w:eastAsia="仿宋_GB2312"/>
          <w:sz w:val="32"/>
          <w:szCs w:val="32"/>
        </w:rPr>
        <w:t>长沙县机关事务中心四项费用管理制度</w:t>
      </w:r>
      <w:r>
        <w:rPr>
          <w:rFonts w:hint="eastAsia" w:ascii="仿宋_GB2132" w:hAnsi="仿宋_GB2132" w:eastAsia="仿宋_GB2132" w:cs="仿宋_GB2132"/>
          <w:sz w:val="32"/>
          <w:szCs w:val="36"/>
        </w:rPr>
        <w:t>》、《</w:t>
      </w:r>
      <w:r>
        <w:rPr>
          <w:rFonts w:hint="eastAsia" w:ascii="仿宋_GB2312" w:eastAsia="仿宋_GB2312"/>
          <w:sz w:val="32"/>
          <w:szCs w:val="32"/>
        </w:rPr>
        <w:t>长沙县机关事务中心专项资金管理制度</w:t>
      </w:r>
      <w:r>
        <w:rPr>
          <w:rFonts w:hint="eastAsia" w:ascii="仿宋_GB2132" w:hAnsi="仿宋_GB2132" w:eastAsia="仿宋_GB2132" w:cs="仿宋_GB2132"/>
          <w:sz w:val="32"/>
          <w:szCs w:val="36"/>
        </w:rPr>
        <w:t>》、</w:t>
      </w:r>
      <w:r>
        <w:rPr>
          <w:rFonts w:hint="eastAsia" w:ascii="仿宋_GB2312" w:eastAsia="仿宋_GB2312"/>
          <w:sz w:val="32"/>
        </w:rPr>
        <w:t>《长沙县机关事务中心政府采购管理办法》、</w:t>
      </w:r>
      <w:r>
        <w:rPr>
          <w:rFonts w:hint="eastAsia" w:ascii="仿宋_GB2312" w:hAnsi="仿宋_GB2312" w:eastAsia="仿宋_GB2312" w:cs="仿宋_GB2312"/>
          <w:sz w:val="32"/>
          <w:szCs w:val="32"/>
        </w:rPr>
        <w:t>《长沙县机关事务中心政府采购内部控制制度》、</w:t>
      </w:r>
      <w:r>
        <w:rPr>
          <w:rFonts w:hint="eastAsia" w:ascii="仿宋" w:hAnsi="仿宋" w:eastAsia="仿宋"/>
          <w:sz w:val="32"/>
          <w:szCs w:val="32"/>
        </w:rPr>
        <w:t>《长沙县机关事务管理局合同管理制度》、《长沙县机关事务局“三重一大”决策制度实施办法》等一系列合法合规、较为完整的管理制度，并切实加强各项制度执行的监督、检查工作，以确保相关管理制度得到有效执行。</w:t>
      </w:r>
    </w:p>
    <w:p>
      <w:pPr>
        <w:ind w:firstLine="480" w:firstLineChars="150"/>
        <w:rPr>
          <w:rFonts w:ascii="仿宋" w:hAnsi="仿宋" w:eastAsia="仿宋"/>
          <w:sz w:val="32"/>
          <w:szCs w:val="32"/>
        </w:rPr>
      </w:pPr>
      <w:r>
        <w:rPr>
          <w:rFonts w:hint="eastAsia" w:ascii="仿宋" w:hAnsi="仿宋" w:eastAsia="仿宋"/>
          <w:sz w:val="32"/>
          <w:szCs w:val="32"/>
        </w:rPr>
        <w:t>2、资金使用合规性</w:t>
      </w:r>
    </w:p>
    <w:p>
      <w:pPr>
        <w:ind w:firstLine="160" w:firstLineChars="50"/>
        <w:rPr>
          <w:rFonts w:ascii="仿宋" w:hAnsi="仿宋" w:eastAsia="仿宋"/>
          <w:sz w:val="32"/>
          <w:szCs w:val="32"/>
        </w:rPr>
      </w:pPr>
      <w:r>
        <w:rPr>
          <w:rFonts w:hint="eastAsia" w:ascii="仿宋" w:hAnsi="仿宋" w:eastAsia="仿宋"/>
          <w:sz w:val="32"/>
          <w:szCs w:val="32"/>
        </w:rPr>
        <w:t>（1）资金的使用符合国家财经法规和财务管理制度规定以及有关专项资金管理办法的规定；</w:t>
      </w:r>
    </w:p>
    <w:p>
      <w:pPr>
        <w:ind w:firstLine="160" w:firstLineChars="50"/>
        <w:rPr>
          <w:rFonts w:ascii="仿宋" w:hAnsi="仿宋" w:eastAsia="仿宋"/>
          <w:sz w:val="32"/>
          <w:szCs w:val="32"/>
        </w:rPr>
      </w:pPr>
      <w:r>
        <w:rPr>
          <w:rFonts w:hint="eastAsia" w:ascii="仿宋" w:hAnsi="仿宋" w:eastAsia="仿宋"/>
          <w:sz w:val="32"/>
          <w:szCs w:val="32"/>
        </w:rPr>
        <w:t>（2）资金的拨付有完整的审批程序和手续；</w:t>
      </w:r>
    </w:p>
    <w:p>
      <w:pPr>
        <w:ind w:firstLine="160" w:firstLineChars="50"/>
        <w:rPr>
          <w:rFonts w:ascii="仿宋" w:hAnsi="仿宋" w:eastAsia="仿宋"/>
          <w:sz w:val="32"/>
          <w:szCs w:val="32"/>
        </w:rPr>
      </w:pPr>
      <w:r>
        <w:rPr>
          <w:rFonts w:hint="eastAsia" w:ascii="仿宋" w:hAnsi="仿宋" w:eastAsia="仿宋"/>
          <w:sz w:val="32"/>
          <w:szCs w:val="32"/>
        </w:rPr>
        <w:t>（3）经费支出符合部门预算批复的用途；</w:t>
      </w:r>
    </w:p>
    <w:p>
      <w:pPr>
        <w:ind w:firstLine="160" w:firstLineChars="50"/>
        <w:rPr>
          <w:rFonts w:ascii="仿宋" w:hAnsi="仿宋" w:eastAsia="仿宋"/>
          <w:sz w:val="32"/>
          <w:szCs w:val="32"/>
        </w:rPr>
      </w:pPr>
      <w:r>
        <w:rPr>
          <w:rFonts w:hint="eastAsia" w:ascii="仿宋" w:hAnsi="仿宋" w:eastAsia="仿宋"/>
          <w:sz w:val="32"/>
          <w:szCs w:val="32"/>
        </w:rPr>
        <w:t>（4）单位不存在截留、挤占、挪用、虚列支出等情况。</w:t>
      </w:r>
    </w:p>
    <w:p>
      <w:pPr>
        <w:ind w:firstLine="320" w:firstLineChars="100"/>
        <w:rPr>
          <w:rFonts w:ascii="仿宋" w:hAnsi="仿宋" w:eastAsia="仿宋"/>
          <w:sz w:val="32"/>
          <w:szCs w:val="32"/>
        </w:rPr>
      </w:pPr>
      <w:r>
        <w:rPr>
          <w:rFonts w:hint="eastAsia" w:ascii="仿宋" w:hAnsi="仿宋" w:eastAsia="仿宋"/>
          <w:sz w:val="32"/>
          <w:szCs w:val="32"/>
        </w:rPr>
        <w:t>3、预决算信息公开性</w:t>
      </w:r>
    </w:p>
    <w:p>
      <w:pPr>
        <w:ind w:firstLine="160" w:firstLineChars="50"/>
        <w:rPr>
          <w:rFonts w:ascii="仿宋" w:hAnsi="仿宋" w:eastAsia="仿宋"/>
          <w:sz w:val="32"/>
          <w:szCs w:val="32"/>
        </w:rPr>
      </w:pPr>
      <w:r>
        <w:rPr>
          <w:rFonts w:hint="eastAsia" w:ascii="仿宋" w:hAnsi="仿宋" w:eastAsia="仿宋"/>
          <w:sz w:val="32"/>
          <w:szCs w:val="32"/>
        </w:rPr>
        <w:t>（1）已按规定内容公开预决算信息；</w:t>
      </w:r>
    </w:p>
    <w:p>
      <w:pPr>
        <w:ind w:firstLine="160" w:firstLineChars="50"/>
        <w:rPr>
          <w:rFonts w:ascii="仿宋" w:hAnsi="仿宋" w:eastAsia="仿宋"/>
          <w:sz w:val="32"/>
          <w:szCs w:val="32"/>
        </w:rPr>
      </w:pPr>
      <w:r>
        <w:rPr>
          <w:rFonts w:hint="eastAsia" w:ascii="仿宋" w:hAnsi="仿宋" w:eastAsia="仿宋"/>
          <w:sz w:val="32"/>
          <w:szCs w:val="32"/>
        </w:rPr>
        <w:t>（2）已按规定时限公开预决算信息。</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（四）职责履行评价（重点工作实际完成率、完成及时率等）。</w:t>
      </w:r>
    </w:p>
    <w:p>
      <w:pPr>
        <w:ind w:firstLine="320" w:firstLineChars="100"/>
        <w:rPr>
          <w:rFonts w:ascii="仿宋" w:hAnsi="仿宋" w:eastAsia="仿宋"/>
          <w:sz w:val="32"/>
          <w:szCs w:val="32"/>
        </w:rPr>
      </w:pPr>
      <w:r>
        <w:rPr>
          <w:rFonts w:hint="eastAsia" w:ascii="仿宋" w:hAnsi="仿宋" w:eastAsia="仿宋"/>
          <w:sz w:val="32"/>
          <w:szCs w:val="32"/>
        </w:rPr>
        <w:t>我中心在2021年度县直单位绩效考核评分中，工作目标得96分（总分100分）。</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（五）履职效益评价（经济效益、社会效益、生态效益、社会公众或服务对象满意度）。</w:t>
      </w:r>
    </w:p>
    <w:p>
      <w:pPr>
        <w:spacing w:line="540" w:lineRule="exact"/>
        <w:ind w:firstLine="643" w:firstLineChars="200"/>
        <w:rPr>
          <w:rFonts w:ascii="仿宋_GB2312" w:hAnsi="仿宋_GB2312" w:eastAsia="仿宋_GB2312" w:cs="仿宋_GB2312"/>
          <w:sz w:val="32"/>
          <w:szCs w:val="36"/>
        </w:rPr>
      </w:pPr>
      <w:r>
        <w:rPr>
          <w:rFonts w:hint="eastAsia" w:ascii="仿宋_GB2312" w:hAnsi="仿宋_GB2312" w:eastAsia="仿宋_GB2312" w:cs="仿宋_GB2312"/>
          <w:b/>
          <w:bCs/>
          <w:sz w:val="32"/>
          <w:szCs w:val="36"/>
        </w:rPr>
        <w:t>1、物业服务力求精益求精。</w:t>
      </w:r>
      <w:r>
        <w:rPr>
          <w:rFonts w:hint="eastAsia" w:ascii="仿宋_GB2312" w:hAnsi="仿宋_GB2312" w:eastAsia="仿宋_GB2312" w:cs="仿宋_GB2312"/>
          <w:sz w:val="32"/>
          <w:szCs w:val="36"/>
        </w:rPr>
        <w:t>一是强化物业日常管理。积极保障县委县政府机关大院、市民服务中心片区等11处院落日常物业服务，对机关大院进行不定期巡查，推行“日巡查、季考核、勤讲评”，做到发现问题，立即反馈、整改，实现了大院绿化维护、保安保洁及日常维修服务第一时间响应，第一时间处置解决。全年完成各院落日常维修维护保障2000余次，全面清洗办公楼建筑立面100余次，电梯清洗保养160余次，开展卫生整治60余次。二是突出难点问题解决。针对干部、群众反映的县委、县政府机关大院以及市民服务中心片区停车难情况，中心通过软件升级、硬件改造、优化交通引导标识等方式，提升停车系统性调控，新增智能道闸5处，安装减速带13处，实行分区调控，留足办事市民停车位，引导上班人员分区停车，停车秩序明显好转。新增38个残疾人停车位，双休和法定节假日开放机关院落停车位829个供市民免费停放，提高了市民公共服务满意度和获得感。三是合理优化办公环境。疫情期间，做好各机关院落疫情防控工作，增设防疫隔离室10余处，安装自动测温识别设备4个，严格实行外来办事人员登记制度、体温检测、查验“双码”及坚持每日公共区域消毒等，确保各院落人员进出安全。做好蓝天保卫战工作，高温天气坚持每日对县委县政府机关大院进行不间断洒水及开启院内喷泉，全年对院内道路进行洒水累计4200余次，有效改善了大院空气质量。严格落实安防制度，坚持24小时门卫值班制度，积极配合信访部门做好群众来访工</w:t>
      </w:r>
      <w:bookmarkStart w:id="0" w:name="_GoBack"/>
      <w:bookmarkEnd w:id="0"/>
      <w:r>
        <w:rPr>
          <w:rFonts w:hint="eastAsia" w:ascii="仿宋_GB2312" w:hAnsi="仿宋_GB2312" w:eastAsia="仿宋_GB2312" w:cs="仿宋_GB2312"/>
          <w:sz w:val="32"/>
          <w:szCs w:val="36"/>
        </w:rPr>
        <w:t>作，协调处理各类信访事件5000余次，为干部职工营造了安全、文明、和谐的办公环境。</w:t>
      </w:r>
    </w:p>
    <w:p>
      <w:pPr>
        <w:spacing w:line="540" w:lineRule="exact"/>
        <w:ind w:firstLine="643" w:firstLineChars="200"/>
        <w:rPr>
          <w:rFonts w:ascii="仿宋_GB2312" w:hAnsi="仿宋_GB2312" w:eastAsia="仿宋_GB2312" w:cs="仿宋_GB2312"/>
          <w:sz w:val="32"/>
          <w:szCs w:val="36"/>
        </w:rPr>
      </w:pPr>
      <w:r>
        <w:rPr>
          <w:rFonts w:hint="eastAsia" w:ascii="仿宋_GB2312" w:hAnsi="仿宋_GB2312" w:eastAsia="仿宋_GB2312" w:cs="仿宋_GB2312"/>
          <w:b/>
          <w:bCs/>
          <w:sz w:val="32"/>
          <w:szCs w:val="36"/>
        </w:rPr>
        <w:t>2、食堂餐饮服务破旧立新。</w:t>
      </w:r>
      <w:r>
        <w:rPr>
          <w:rFonts w:hint="eastAsia" w:ascii="仿宋_GB2312" w:hAnsi="仿宋_GB2312" w:eastAsia="仿宋_GB2312" w:cs="仿宋_GB2312"/>
          <w:sz w:val="32"/>
          <w:szCs w:val="36"/>
        </w:rPr>
        <w:t>今年3月以来，中心改变食堂餐饮服务模式，大胆推行食堂自营改革，采用“劳务外包+食材自采”模式为机关干部提供就餐服务。建立食堂采购、出入库、财务、考核等系列管理制度，规范食堂内部管理。注重提升菜品品质，从源头对食材进行把控，开发手工包点、成品菜、卤菜等外卖专区，设立宾客服务专员，为干部提供优质的餐饮服务。坚持每季度开展满意度调查，采取民意调查、日常考核、考核小组意见相结合的方式，加强对劳务服务外包单位的考评。模式调整后干部职工测评满意率为96.5%，综合考核平均得分为91.3分。四个食堂平均就餐人数由改革前的1800余人增长至近3000人。</w:t>
      </w:r>
    </w:p>
    <w:p>
      <w:pPr>
        <w:spacing w:line="540" w:lineRule="exact"/>
        <w:ind w:firstLine="643" w:firstLineChars="200"/>
        <w:rPr>
          <w:rFonts w:ascii="仿宋_GB2312" w:hAnsi="仿宋_GB2312" w:eastAsia="仿宋_GB2312" w:cs="仿宋_GB2312"/>
          <w:sz w:val="32"/>
          <w:szCs w:val="36"/>
        </w:rPr>
      </w:pPr>
      <w:r>
        <w:rPr>
          <w:rFonts w:hint="eastAsia" w:ascii="仿宋_GB2312" w:hAnsi="仿宋_GB2312" w:eastAsia="仿宋_GB2312" w:cs="仿宋_GB2312"/>
          <w:b/>
          <w:bCs/>
          <w:sz w:val="32"/>
          <w:szCs w:val="36"/>
        </w:rPr>
        <w:t>3、公车服务实现管理效能提升。</w:t>
      </w:r>
      <w:r>
        <w:rPr>
          <w:rFonts w:hint="eastAsia" w:ascii="仿宋_GB2312" w:hAnsi="仿宋_GB2312" w:eastAsia="仿宋_GB2312" w:cs="仿宋_GB2312"/>
          <w:sz w:val="32"/>
          <w:szCs w:val="36"/>
        </w:rPr>
        <w:t>优化平台建设，强化精细管理理念，运用信息化、平台化、统一化管理手段，有效防范公务用车廉政风险，全面提升管理效能。新增驾驶员考勤管理、维修在线审批、车辆运行时间轨迹查询等功能，实现申请、调度、结算、监管“一站式”管理。对全县各类公务用车申请事项严格把关，依法依规完成40余台车辆控购以及30余台上交车辆集中拍卖、报废、处置等手续。强化公车调度与监管，积极保障了239家参改单位安全、便捷出行，为县内“抗洪抢险”、“两会”、“疫情防控”、“文明城市创建”等大型活动提供用车服务2.7万余次。</w:t>
      </w:r>
    </w:p>
    <w:p>
      <w:pPr>
        <w:spacing w:line="540" w:lineRule="exact"/>
        <w:ind w:firstLine="643" w:firstLineChars="200"/>
        <w:rPr>
          <w:rFonts w:ascii="仿宋_GB2312" w:hAnsi="仿宋_GB2312" w:eastAsia="仿宋_GB2312" w:cs="仿宋_GB2312"/>
          <w:sz w:val="32"/>
          <w:szCs w:val="36"/>
        </w:rPr>
      </w:pPr>
      <w:r>
        <w:rPr>
          <w:rFonts w:hint="eastAsia" w:ascii="仿宋_GB2312" w:hAnsi="仿宋_GB2312" w:eastAsia="仿宋_GB2312" w:cs="仿宋_GB2312"/>
          <w:b/>
          <w:bCs/>
          <w:sz w:val="32"/>
          <w:szCs w:val="36"/>
        </w:rPr>
        <w:t>4、会务保障致力专业规范。</w:t>
      </w:r>
      <w:r>
        <w:rPr>
          <w:rFonts w:hint="eastAsia" w:ascii="仿宋_GB2312" w:hAnsi="仿宋_GB2312" w:eastAsia="仿宋_GB2312" w:cs="仿宋_GB2312"/>
          <w:sz w:val="32"/>
          <w:szCs w:val="36"/>
        </w:rPr>
        <w:t>积极推行会务服务标准化、规范化，做到勤抓细管。严格按照防疫要求保障用会安全，落实会场消毒、查验“双码”等各类防护措施；加强会务人员业务培训，共组织培训10次；落实会场设施维护管理，坚持每季度安排技术人员到各个会场进行巡检；严格执行会务管理制度，积极提供优质会务保障，全年共接待会议2622场次，其中大型会议演出396场，累计接待人数约25万人次，获得与会单位书面肯定198次，圆满完成各类会议、各个环节的衔接和服务保障工作。</w:t>
      </w:r>
    </w:p>
    <w:p>
      <w:pPr>
        <w:ind w:firstLine="643" w:firstLineChars="200"/>
        <w:rPr>
          <w:rFonts w:ascii="仿宋_GB2312" w:hAnsi="仿宋_GB2312" w:eastAsia="仿宋_GB2312" w:cs="仿宋_GB2312"/>
          <w:sz w:val="32"/>
          <w:szCs w:val="36"/>
        </w:rPr>
      </w:pPr>
      <w:r>
        <w:rPr>
          <w:rFonts w:hint="eastAsia" w:ascii="楷体_GB2312" w:hAnsi="楷体_GB2312" w:eastAsia="楷体_GB2312" w:cs="楷体_GB2312"/>
          <w:b/>
          <w:bCs/>
          <w:sz w:val="32"/>
          <w:szCs w:val="40"/>
        </w:rPr>
        <w:t>5、垃圾分类深入人心。</w:t>
      </w:r>
      <w:r>
        <w:rPr>
          <w:rFonts w:hint="eastAsia" w:ascii="仿宋_GB2312" w:hAnsi="仿宋_GB2312" w:eastAsia="仿宋_GB2312" w:cs="仿宋_GB2312"/>
          <w:sz w:val="32"/>
          <w:szCs w:val="36"/>
        </w:rPr>
        <w:t>作为全县党政机关生活垃圾分类牵头单位，中心注重以节约型机关建设为抓手，加强全县机关的指导和监督。成立四个检查组，坚持每月组织对66家县直单位、19个镇（街道）开展生活垃圾分类工作专项检查，督促各单位常态化抓好垃圾分类工作。突出抓好市、县级公共机构生活垃圾分类示范单位创建工作，统一制定并印发了全县示范单位创建活动方案，今年在全县创建18家县级示范单位，并择优选取2-3家争创市级示范单位，积极发挥示范带动效应，在全县营造了浓厚的垃圾分类氛围。广泛推行“五个一”志愿服务活动，发动全县147家公共机构成立垃圾分类志愿者队伍，注册志愿者1684名，通过志愿者开展日常督导、桶边值守、宣传引导等方式，实现了全县公共机构垃圾分类覆盖率100%。机关垃圾分类工作深得市机关事务局领导肯定，深入干部职工人心。</w:t>
      </w:r>
    </w:p>
    <w:p>
      <w:pPr>
        <w:pStyle w:val="9"/>
        <w:spacing w:after="0" w:line="540" w:lineRule="exact"/>
        <w:ind w:left="0" w:leftChars="0" w:firstLine="643"/>
      </w:pPr>
      <w:r>
        <w:rPr>
          <w:rFonts w:hint="eastAsia"/>
          <w:b/>
          <w:bCs/>
        </w:rPr>
        <w:t>6、资产管理规范统一。</w:t>
      </w:r>
      <w:r>
        <w:rPr>
          <w:rFonts w:hint="eastAsia"/>
        </w:rPr>
        <w:t>坚持“应调尽调”“不超标配备”的原则进行办公用房调整，先后完成县党史学习教育领导小组集中用房，县工业局、县现代服务业、县妇联、团县委等单位办公用房调整。对管理的办公用房开展建筑安全隐患排查，</w:t>
      </w:r>
      <w:r>
        <w:rPr>
          <w:rFonts w:hint="eastAsia" w:ascii="仿宋_GB2312"/>
          <w:szCs w:val="32"/>
        </w:rPr>
        <w:t>加大对县内独立办公院落资产规范统一管理，组织</w:t>
      </w:r>
      <w:r>
        <w:rPr>
          <w:rFonts w:hint="eastAsia"/>
        </w:rPr>
        <w:t>第三方机构对中心固定资产进行全面盘查。</w:t>
      </w:r>
    </w:p>
    <w:p>
      <w:pPr>
        <w:pStyle w:val="9"/>
        <w:spacing w:after="0" w:line="540" w:lineRule="exact"/>
        <w:ind w:left="0" w:leftChars="0" w:firstLine="643"/>
        <w:rPr>
          <w:rFonts w:ascii="仿宋_GB2312" w:hAnsi="仿宋_GB2312" w:cs="仿宋_GB2312"/>
          <w:szCs w:val="36"/>
        </w:rPr>
      </w:pPr>
      <w:r>
        <w:rPr>
          <w:rFonts w:hint="eastAsia" w:ascii="仿宋_GB2312" w:hAnsi="仿宋_GB2312" w:cs="仿宋_GB2312"/>
          <w:b/>
          <w:bCs/>
          <w:szCs w:val="36"/>
        </w:rPr>
        <w:t>7、工程管理应保尽保。</w:t>
      </w:r>
      <w:r>
        <w:rPr>
          <w:rFonts w:hint="eastAsia" w:ascii="仿宋_GB2312" w:hAnsi="仿宋_GB2312" w:cs="仿宋_GB2312"/>
          <w:szCs w:val="36"/>
        </w:rPr>
        <w:t>设立了“党政机关办公院落维修维护”专项资金，对13个院落常规改造及服务保障单位提出的维护项目进行打捆招投标，对应急抢险除危类与县委中心工作保障类按照相关单位来函请求及会议纪要要求实行“一事、一议、一报”制度推进实施。今年重点推进了智慧城市指挥运营中心、“三供一业”分离改造、人武部安沙训练场改扩建等项目15项，完成小型应急零星维修项目70余项。国庆期间，加班加点完成了县政府六楼会议室装修改造、县委县政府电梯改造（基础工程）、原工商局院落附楼改造等7个项目，各院落日常工程维修维护应保尽保。</w:t>
      </w:r>
    </w:p>
    <w:p>
      <w:pPr>
        <w:pStyle w:val="9"/>
        <w:spacing w:after="0" w:line="540" w:lineRule="exact"/>
        <w:ind w:left="0" w:leftChars="0" w:firstLine="643"/>
        <w:rPr>
          <w:rFonts w:ascii="仿宋_GB2312" w:hAnsi="仿宋_GB2312" w:cs="仿宋_GB2312"/>
          <w:szCs w:val="36"/>
        </w:rPr>
      </w:pPr>
      <w:r>
        <w:rPr>
          <w:rFonts w:hint="eastAsia"/>
          <w:b/>
          <w:bCs/>
        </w:rPr>
        <w:t>8、安全管理从严从紧。</w:t>
      </w:r>
      <w:r>
        <w:rPr>
          <w:rFonts w:hint="eastAsia" w:ascii="仿宋_GB2312" w:hAnsi="仿宋_GB2312" w:cs="仿宋_GB2312"/>
          <w:szCs w:val="36"/>
        </w:rPr>
        <w:t>压实安全监管责任，积极落实安全生产各项举措和要求，引入安全生产服务外包协调机制，实现“让专业的人做专业的事”。推行安全生产早班会制度，全面压实安全监管主体责任，开展领导带队检查5次，专项监督检查9次，专题安全教育培训6次，排查安全隐患300余条，并组织开展了防灾减灾宣传周、“安全生产月”、“车辆自燃事故应急演练”等活动，通过形式多样的安全检查，内容丰富的宣教活动，贯彻落实部门监管职责，压实了企业主体责任。全年中心管辖领域内未发生一起安全生产事故。</w:t>
      </w:r>
    </w:p>
    <w:p>
      <w:pPr>
        <w:rPr>
          <w:rFonts w:ascii="仿宋_GB2312" w:hAnsi="仿宋_GB2312" w:eastAsia="仿宋_GB2312" w:cs="仿宋_GB2312"/>
          <w:sz w:val="32"/>
          <w:szCs w:val="36"/>
        </w:rPr>
      </w:pPr>
    </w:p>
    <w:p>
      <w:pPr>
        <w:rPr>
          <w:rFonts w:ascii="仿宋" w:hAnsi="仿宋" w:eastAsia="仿宋"/>
          <w:b/>
          <w:sz w:val="32"/>
          <w:szCs w:val="32"/>
        </w:rPr>
      </w:pPr>
      <w:r>
        <w:rPr>
          <w:rFonts w:hint="eastAsia" w:ascii="仿宋" w:hAnsi="仿宋" w:eastAsia="仿宋"/>
          <w:b/>
          <w:sz w:val="32"/>
          <w:szCs w:val="32"/>
        </w:rPr>
        <w:t>四、其它需要说明的问题</w:t>
      </w:r>
    </w:p>
    <w:p>
      <w:pPr>
        <w:ind w:firstLine="480" w:firstLineChars="150"/>
        <w:rPr>
          <w:rFonts w:ascii="仿宋" w:hAnsi="仿宋" w:eastAsia="仿宋"/>
          <w:sz w:val="32"/>
          <w:szCs w:val="32"/>
        </w:rPr>
      </w:pPr>
      <w:r>
        <w:rPr>
          <w:rFonts w:hint="eastAsia" w:ascii="仿宋" w:hAnsi="仿宋" w:eastAsia="仿宋"/>
          <w:sz w:val="32"/>
          <w:szCs w:val="32"/>
        </w:rPr>
        <w:t>我中心在预算编制和执行率、资金使用管理的水平和效率上还有待进一步加强，在预算绩效管理方面还有待改进和完善，整体支出绩效报告也是在初步摸索的过程中编制的，需要不断地规范和完善。下一步，我中心将进一步健全和完善财务管理制度及内部控制制度，规范和约束机关理财行为和程序，积极探索新形势下部门预算、国库集中支付等财政支出改革的特点，不断更新管理思路，在规范收支和控制经费增长上，创新管理手段，用新思路、新方法，改进和完善财务管理办法。按照财政支出绩效管理的要求，建立科学的财政资金效益考评制度体系，牢固树立行政成本意识，不断提高财政资金使用管理的水平和效率。</w:t>
      </w:r>
    </w:p>
    <w:p>
      <w:pPr>
        <w:ind w:firstLine="480" w:firstLineChars="150"/>
        <w:rPr>
          <w:rFonts w:ascii="仿宋" w:hAnsi="仿宋" w:eastAsia="仿宋"/>
          <w:sz w:val="32"/>
          <w:szCs w:val="32"/>
        </w:rPr>
      </w:pPr>
      <w:r>
        <w:rPr>
          <w:rFonts w:hint="eastAsia" w:ascii="仿宋" w:hAnsi="仿宋" w:eastAsia="仿宋"/>
          <w:sz w:val="32"/>
          <w:szCs w:val="32"/>
        </w:rPr>
        <w:t>1、科学合理编制预算，严格执行预算。加强预算编制的前瞻性，按照新《预算法》及其实施条例的相关规定，按政策规定及本单位的发展规划，结合上一年度预算执行情况和本年度预算收支变化因素，科学合理地编制本年度预算草案，避免预算支出与实际执行出现较大偏差的情况，执行中确需调剂预算的，按规定程序报经批准。</w:t>
      </w:r>
    </w:p>
    <w:p>
      <w:pPr>
        <w:ind w:firstLine="480" w:firstLineChars="150"/>
        <w:rPr>
          <w:rFonts w:ascii="仿宋" w:hAnsi="仿宋" w:eastAsia="仿宋"/>
          <w:sz w:val="32"/>
          <w:szCs w:val="32"/>
        </w:rPr>
      </w:pPr>
      <w:r>
        <w:rPr>
          <w:rFonts w:hint="eastAsia" w:ascii="仿宋" w:hAnsi="仿宋" w:eastAsia="仿宋"/>
          <w:sz w:val="32"/>
          <w:szCs w:val="32"/>
        </w:rPr>
        <w:t>2、完善绩效评价体系，加强监督检查和考核工作</w:t>
      </w:r>
    </w:p>
    <w:p>
      <w:pPr>
        <w:ind w:firstLine="480" w:firstLineChars="150"/>
        <w:rPr>
          <w:rFonts w:ascii="仿宋" w:hAnsi="仿宋" w:eastAsia="仿宋"/>
          <w:sz w:val="32"/>
          <w:szCs w:val="32"/>
        </w:rPr>
      </w:pPr>
      <w:r>
        <w:rPr>
          <w:rFonts w:hint="eastAsia" w:ascii="仿宋" w:hAnsi="仿宋" w:eastAsia="仿宋"/>
          <w:sz w:val="32"/>
          <w:szCs w:val="32"/>
        </w:rPr>
        <w:t>进一步探索完善项目绩效评价指标体系，研究、关注绩效管理理论与实践发展的新思路、新动向，进一步完善项目绩效评价指标体系，增强绩效评价结果的可比性、可信度。加强对绩效管理工作的跟踪督查，做到绩效管理有依据、按程序、有奖惩，实现绩效管理的规范化、常态化。</w:t>
      </w:r>
    </w:p>
    <w:p>
      <w:pPr>
        <w:ind w:firstLine="480" w:firstLineChars="150"/>
        <w:rPr>
          <w:rFonts w:ascii="仿宋" w:hAnsi="仿宋" w:eastAsia="仿宋"/>
          <w:sz w:val="32"/>
          <w:szCs w:val="32"/>
        </w:rPr>
      </w:pPr>
      <w:r>
        <w:rPr>
          <w:rFonts w:hint="eastAsia" w:ascii="仿宋" w:hAnsi="仿宋" w:eastAsia="仿宋"/>
          <w:sz w:val="32"/>
          <w:szCs w:val="32"/>
        </w:rPr>
        <w:t>3、统筹协调，厘定提高资金使用绩效的关节点。切实提高资金使用绩效，找到突破口与关节点。财务工作的关节点很多，找到问题的节点，才能对症下药，采取得力措施，降低行政运行成本，提高资金使用绩效，真正做到依法理财、科学理财、民主理财。这也是财务工作需长期破解并一以贯之研究的课题。</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（一）后续工作计划。</w:t>
      </w:r>
    </w:p>
    <w:p>
      <w:pPr>
        <w:pStyle w:val="4"/>
        <w:shd w:val="clear" w:color="auto" w:fill="FFFFFF"/>
        <w:spacing w:line="502" w:lineRule="atLeast"/>
        <w:ind w:firstLine="560"/>
        <w:jc w:val="both"/>
        <w:rPr>
          <w:rFonts w:ascii="仿宋" w:hAnsi="仿宋" w:eastAsia="仿宋" w:cs="Times New Roman"/>
          <w:sz w:val="32"/>
          <w:szCs w:val="32"/>
        </w:rPr>
      </w:pPr>
      <w:r>
        <w:rPr>
          <w:rFonts w:hint="eastAsia" w:ascii="仿宋" w:hAnsi="仿宋" w:eastAsia="仿宋" w:cs="Times New Roman"/>
          <w:sz w:val="32"/>
          <w:szCs w:val="32"/>
          <w:shd w:val="clear" w:color="auto" w:fill="FFFFFF"/>
        </w:rPr>
        <w:t>1、细化预算编制工作，认真做好预算的编制。进一步加强单位内部机构各科室的预算管理意识，严格按照预算编制的相关制度和要求进行预算编制。</w:t>
      </w:r>
    </w:p>
    <w:p>
      <w:pPr>
        <w:pStyle w:val="4"/>
        <w:shd w:val="clear" w:color="auto" w:fill="FFFFFF"/>
        <w:spacing w:line="502" w:lineRule="atLeast"/>
        <w:ind w:firstLine="560"/>
        <w:jc w:val="both"/>
        <w:rPr>
          <w:rFonts w:ascii="仿宋" w:hAnsi="仿宋" w:eastAsia="仿宋" w:cs="Times New Roman"/>
          <w:sz w:val="32"/>
          <w:szCs w:val="32"/>
        </w:rPr>
      </w:pPr>
      <w:r>
        <w:rPr>
          <w:rFonts w:hint="eastAsia" w:ascii="仿宋" w:hAnsi="仿宋" w:eastAsia="仿宋" w:cs="Times New Roman"/>
          <w:sz w:val="32"/>
          <w:szCs w:val="32"/>
          <w:shd w:val="clear" w:color="auto" w:fill="FFFFFF"/>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4"/>
        <w:shd w:val="clear" w:color="auto" w:fill="FFFFFF"/>
        <w:spacing w:line="502" w:lineRule="atLeast"/>
        <w:ind w:firstLine="560"/>
        <w:jc w:val="both"/>
        <w:rPr>
          <w:rFonts w:ascii="仿宋" w:hAnsi="仿宋" w:eastAsia="仿宋" w:cs="Times New Roman"/>
          <w:sz w:val="32"/>
          <w:szCs w:val="32"/>
        </w:rPr>
      </w:pPr>
      <w:r>
        <w:rPr>
          <w:rFonts w:hint="eastAsia" w:ascii="仿宋" w:hAnsi="仿宋" w:eastAsia="仿宋" w:cs="Times New Roman"/>
          <w:sz w:val="32"/>
          <w:szCs w:val="32"/>
          <w:shd w:val="clear" w:color="auto" w:fill="FFFFFF"/>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4"/>
        <w:shd w:val="clear" w:color="auto" w:fill="FFFFFF"/>
        <w:spacing w:line="502" w:lineRule="atLeast"/>
        <w:ind w:firstLine="560"/>
        <w:jc w:val="both"/>
        <w:rPr>
          <w:rFonts w:ascii="仿宋" w:hAnsi="仿宋" w:eastAsia="仿宋" w:cs="Times New Roman"/>
          <w:sz w:val="32"/>
          <w:szCs w:val="32"/>
        </w:rPr>
      </w:pPr>
      <w:r>
        <w:rPr>
          <w:rFonts w:hint="eastAsia" w:ascii="仿宋" w:hAnsi="仿宋" w:eastAsia="仿宋" w:cs="Times New Roman"/>
          <w:sz w:val="32"/>
          <w:szCs w:val="32"/>
          <w:shd w:val="clear" w:color="auto" w:fill="FFFFFF"/>
        </w:rPr>
        <w:t>4、对相关人员加强培训，特别是针对《预算法》、《行政事业单位会计制度》等学习培训，规范部门预算收支核算，切实提高部门预算收支管理水平。</w:t>
      </w:r>
    </w:p>
    <w:p>
      <w:pPr>
        <w:rPr>
          <w:sz w:val="28"/>
          <w:szCs w:val="28"/>
        </w:rPr>
      </w:pPr>
    </w:p>
    <w:p>
      <w:pPr>
        <w:jc w:val="right"/>
        <w:rPr>
          <w:sz w:val="28"/>
          <w:szCs w:val="28"/>
        </w:rPr>
      </w:pPr>
    </w:p>
    <w:p>
      <w:pPr>
        <w:jc w:val="right"/>
        <w:rPr>
          <w:sz w:val="28"/>
          <w:szCs w:val="28"/>
        </w:rPr>
      </w:pPr>
      <w:r>
        <w:rPr>
          <w:rFonts w:hint="eastAsia"/>
          <w:sz w:val="28"/>
          <w:szCs w:val="28"/>
        </w:rPr>
        <w:t>长沙县机关事务中心</w:t>
      </w:r>
    </w:p>
    <w:p>
      <w:pPr>
        <w:ind w:right="140"/>
        <w:jc w:val="right"/>
        <w:rPr>
          <w:sz w:val="28"/>
          <w:szCs w:val="28"/>
        </w:rPr>
        <w:sectPr>
          <w:pgSz w:w="11906" w:h="16838"/>
          <w:pgMar w:top="1440" w:right="1800" w:bottom="1440" w:left="1800" w:header="851" w:footer="992" w:gutter="0"/>
          <w:cols w:space="425" w:num="1"/>
          <w:docGrid w:type="lines" w:linePitch="312" w:charSpace="0"/>
        </w:sectPr>
      </w:pPr>
      <w:r>
        <w:rPr>
          <w:rFonts w:hint="eastAsia"/>
          <w:sz w:val="28"/>
          <w:szCs w:val="28"/>
        </w:rPr>
        <w:t>2021年4月21日</w:t>
      </w:r>
    </w:p>
    <w:p>
      <w:pPr>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1</w:t>
      </w:r>
      <w:r>
        <w:rPr>
          <w:rFonts w:ascii="Times New Roman" w:hAnsi="Times New Roman" w:eastAsia="黑体"/>
          <w:sz w:val="32"/>
          <w:szCs w:val="32"/>
        </w:rPr>
        <w:t>-1</w:t>
      </w:r>
      <w:r>
        <w:rPr>
          <w:rFonts w:ascii="Times New Roman" w:hAnsi="Times New Roman" w:eastAsia="黑体"/>
          <w:sz w:val="32"/>
          <w:szCs w:val="32"/>
        </w:rPr>
        <w:tab/>
      </w:r>
    </w:p>
    <w:p>
      <w:pPr>
        <w:spacing w:afterLines="50" w:line="360" w:lineRule="auto"/>
        <w:jc w:val="center"/>
        <w:rPr>
          <w:rFonts w:eastAsia="方正小标宋简体"/>
          <w:kern w:val="0"/>
          <w:sz w:val="44"/>
          <w:szCs w:val="44"/>
        </w:rPr>
      </w:pPr>
      <w:r>
        <w:rPr>
          <w:rFonts w:eastAsia="方正小标宋简体"/>
          <w:kern w:val="0"/>
          <w:sz w:val="44"/>
          <w:szCs w:val="44"/>
        </w:rPr>
        <w:t>部门整体支出绩效自评指标表</w:t>
      </w:r>
    </w:p>
    <w:tbl>
      <w:tblPr>
        <w:tblStyle w:val="5"/>
        <w:tblW w:w="5956" w:type="pc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9"/>
        <w:gridCol w:w="739"/>
        <w:gridCol w:w="832"/>
        <w:gridCol w:w="765"/>
        <w:gridCol w:w="2612"/>
        <w:gridCol w:w="3338"/>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blHeader/>
        </w:trPr>
        <w:tc>
          <w:tcPr>
            <w:tcW w:w="438" w:type="pct"/>
            <w:tcMar>
              <w:top w:w="15" w:type="dxa"/>
              <w:left w:w="15" w:type="dxa"/>
              <w:right w:w="15" w:type="dxa"/>
            </w:tcMar>
            <w:vAlign w:val="center"/>
          </w:tcPr>
          <w:p>
            <w:pPr>
              <w:widowControl/>
              <w:jc w:val="center"/>
              <w:textAlignment w:val="center"/>
              <w:rPr>
                <w:rFonts w:hint="eastAsia" w:eastAsia="黑体"/>
                <w:kern w:val="0"/>
                <w:sz w:val="20"/>
                <w:szCs w:val="20"/>
                <w:lang w:eastAsia="zh-CN"/>
              </w:rPr>
            </w:pPr>
            <w:r>
              <w:rPr>
                <w:rFonts w:eastAsia="黑体"/>
                <w:kern w:val="0"/>
                <w:sz w:val="20"/>
                <w:szCs w:val="20"/>
              </w:rPr>
              <w:t>一级</w:t>
            </w:r>
          </w:p>
          <w:p>
            <w:pPr>
              <w:widowControl/>
              <w:jc w:val="center"/>
              <w:textAlignment w:val="center"/>
              <w:rPr>
                <w:rFonts w:eastAsia="黑体"/>
                <w:sz w:val="20"/>
                <w:szCs w:val="20"/>
              </w:rPr>
            </w:pPr>
            <w:r>
              <w:rPr>
                <w:rFonts w:eastAsia="黑体"/>
                <w:kern w:val="0"/>
                <w:sz w:val="20"/>
                <w:szCs w:val="20"/>
              </w:rPr>
              <w:t>指标</w:t>
            </w:r>
          </w:p>
        </w:tc>
        <w:tc>
          <w:tcPr>
            <w:tcW w:w="372" w:type="pct"/>
            <w:tcMar>
              <w:top w:w="15" w:type="dxa"/>
              <w:left w:w="15" w:type="dxa"/>
              <w:right w:w="15" w:type="dxa"/>
            </w:tcMar>
            <w:vAlign w:val="center"/>
          </w:tcPr>
          <w:p>
            <w:pPr>
              <w:widowControl/>
              <w:jc w:val="center"/>
              <w:textAlignment w:val="center"/>
              <w:rPr>
                <w:rFonts w:hint="eastAsia" w:eastAsia="黑体"/>
                <w:kern w:val="0"/>
                <w:sz w:val="20"/>
                <w:szCs w:val="20"/>
                <w:lang w:eastAsia="zh-CN"/>
              </w:rPr>
            </w:pPr>
            <w:r>
              <w:rPr>
                <w:rFonts w:eastAsia="黑体"/>
                <w:kern w:val="0"/>
                <w:sz w:val="20"/>
                <w:szCs w:val="20"/>
              </w:rPr>
              <w:t>二级</w:t>
            </w:r>
          </w:p>
          <w:p>
            <w:pPr>
              <w:widowControl/>
              <w:jc w:val="center"/>
              <w:textAlignment w:val="center"/>
              <w:rPr>
                <w:rFonts w:eastAsia="黑体"/>
                <w:sz w:val="20"/>
                <w:szCs w:val="20"/>
              </w:rPr>
            </w:pPr>
            <w:r>
              <w:rPr>
                <w:rFonts w:eastAsia="黑体"/>
                <w:kern w:val="0"/>
                <w:sz w:val="20"/>
                <w:szCs w:val="20"/>
              </w:rPr>
              <w:t>指标</w:t>
            </w:r>
          </w:p>
        </w:tc>
        <w:tc>
          <w:tcPr>
            <w:tcW w:w="419" w:type="pct"/>
            <w:tcMar>
              <w:top w:w="15" w:type="dxa"/>
              <w:left w:w="15" w:type="dxa"/>
              <w:right w:w="15" w:type="dxa"/>
            </w:tcMar>
            <w:vAlign w:val="center"/>
          </w:tcPr>
          <w:p>
            <w:pPr>
              <w:widowControl/>
              <w:jc w:val="center"/>
              <w:textAlignment w:val="center"/>
              <w:rPr>
                <w:rFonts w:eastAsia="黑体"/>
                <w:kern w:val="0"/>
                <w:sz w:val="20"/>
                <w:szCs w:val="20"/>
              </w:rPr>
            </w:pPr>
            <w:r>
              <w:rPr>
                <w:rFonts w:eastAsia="黑体"/>
                <w:kern w:val="0"/>
                <w:sz w:val="20"/>
                <w:szCs w:val="20"/>
              </w:rPr>
              <w:t>三级</w:t>
            </w:r>
          </w:p>
          <w:p>
            <w:pPr>
              <w:widowControl/>
              <w:jc w:val="center"/>
              <w:textAlignment w:val="center"/>
              <w:rPr>
                <w:rFonts w:eastAsia="黑体"/>
                <w:sz w:val="20"/>
                <w:szCs w:val="20"/>
              </w:rPr>
            </w:pPr>
            <w:r>
              <w:rPr>
                <w:rFonts w:eastAsia="黑体"/>
                <w:kern w:val="0"/>
                <w:sz w:val="20"/>
                <w:szCs w:val="20"/>
              </w:rPr>
              <w:t>指标</w:t>
            </w:r>
          </w:p>
        </w:tc>
        <w:tc>
          <w:tcPr>
            <w:tcW w:w="385" w:type="pct"/>
            <w:tcMar>
              <w:top w:w="15" w:type="dxa"/>
              <w:left w:w="15" w:type="dxa"/>
              <w:right w:w="15" w:type="dxa"/>
            </w:tcMar>
            <w:vAlign w:val="center"/>
          </w:tcPr>
          <w:p>
            <w:pPr>
              <w:widowControl/>
              <w:jc w:val="center"/>
              <w:textAlignment w:val="center"/>
              <w:rPr>
                <w:rFonts w:eastAsia="黑体"/>
                <w:sz w:val="20"/>
                <w:szCs w:val="20"/>
              </w:rPr>
            </w:pPr>
            <w:r>
              <w:rPr>
                <w:rFonts w:eastAsia="黑体"/>
                <w:kern w:val="0"/>
                <w:sz w:val="20"/>
                <w:szCs w:val="20"/>
              </w:rPr>
              <w:t>分值</w:t>
            </w:r>
          </w:p>
        </w:tc>
        <w:tc>
          <w:tcPr>
            <w:tcW w:w="1315" w:type="pct"/>
            <w:tcMar>
              <w:top w:w="15" w:type="dxa"/>
              <w:left w:w="15" w:type="dxa"/>
              <w:right w:w="15" w:type="dxa"/>
            </w:tcMar>
            <w:vAlign w:val="center"/>
          </w:tcPr>
          <w:p>
            <w:pPr>
              <w:widowControl/>
              <w:jc w:val="center"/>
              <w:textAlignment w:val="center"/>
              <w:rPr>
                <w:rFonts w:eastAsia="黑体"/>
                <w:sz w:val="20"/>
                <w:szCs w:val="20"/>
              </w:rPr>
            </w:pPr>
            <w:r>
              <w:rPr>
                <w:rFonts w:eastAsia="黑体"/>
                <w:kern w:val="0"/>
                <w:sz w:val="20"/>
                <w:szCs w:val="20"/>
              </w:rPr>
              <w:t>评分要点</w:t>
            </w:r>
          </w:p>
        </w:tc>
        <w:tc>
          <w:tcPr>
            <w:tcW w:w="1681" w:type="pct"/>
            <w:tcMar>
              <w:top w:w="15" w:type="dxa"/>
              <w:left w:w="15" w:type="dxa"/>
              <w:right w:w="15" w:type="dxa"/>
            </w:tcMar>
            <w:vAlign w:val="center"/>
          </w:tcPr>
          <w:p>
            <w:pPr>
              <w:widowControl/>
              <w:jc w:val="center"/>
              <w:textAlignment w:val="center"/>
              <w:rPr>
                <w:rFonts w:eastAsia="黑体"/>
                <w:sz w:val="20"/>
                <w:szCs w:val="20"/>
              </w:rPr>
            </w:pPr>
            <w:r>
              <w:rPr>
                <w:rFonts w:eastAsia="黑体"/>
                <w:kern w:val="0"/>
                <w:sz w:val="20"/>
                <w:szCs w:val="20"/>
              </w:rPr>
              <w:t>评分标准</w:t>
            </w:r>
          </w:p>
        </w:tc>
        <w:tc>
          <w:tcPr>
            <w:tcW w:w="390" w:type="pct"/>
            <w:tcMar>
              <w:top w:w="15" w:type="dxa"/>
              <w:left w:w="15" w:type="dxa"/>
              <w:right w:w="15" w:type="dxa"/>
            </w:tcMar>
            <w:vAlign w:val="center"/>
          </w:tcPr>
          <w:p>
            <w:pPr>
              <w:widowControl/>
              <w:jc w:val="center"/>
              <w:textAlignment w:val="center"/>
              <w:rPr>
                <w:rFonts w:eastAsia="黑体"/>
                <w:kern w:val="0"/>
                <w:sz w:val="20"/>
                <w:szCs w:val="20"/>
              </w:rPr>
            </w:pPr>
            <w:r>
              <w:rPr>
                <w:rFonts w:hint="eastAsia" w:eastAsia="黑体"/>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3" w:hRule="atLeast"/>
        </w:trPr>
        <w:tc>
          <w:tcPr>
            <w:tcW w:w="438" w:type="pct"/>
            <w:vMerge w:val="restar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投入</w:t>
            </w:r>
          </w:p>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w:t>
            </w:r>
            <w:r>
              <w:rPr>
                <w:rStyle w:val="12"/>
                <w:rFonts w:ascii="Times New Roman" w:hAnsi="Times New Roman"/>
                <w:color w:val="auto"/>
                <w:sz w:val="20"/>
                <w:szCs w:val="20"/>
              </w:rPr>
              <w:t>9</w:t>
            </w:r>
            <w:r>
              <w:rPr>
                <w:rStyle w:val="12"/>
                <w:rFonts w:hint="default" w:ascii="Times New Roman" w:hAnsi="Times New Roman"/>
                <w:color w:val="auto"/>
                <w:sz w:val="20"/>
                <w:szCs w:val="20"/>
              </w:rPr>
              <w:t>分）</w:t>
            </w: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tc>
        <w:tc>
          <w:tcPr>
            <w:tcW w:w="372" w:type="pct"/>
            <w:vMerge w:val="restart"/>
            <w:tcMar>
              <w:top w:w="15" w:type="dxa"/>
              <w:left w:w="15" w:type="dxa"/>
              <w:right w:w="15" w:type="dxa"/>
            </w:tcMar>
            <w:vAlign w:val="center"/>
          </w:tcPr>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目标</w:t>
            </w:r>
          </w:p>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设定</w:t>
            </w:r>
          </w:p>
          <w:p>
            <w:pPr>
              <w:widowControl/>
              <w:jc w:val="center"/>
              <w:textAlignment w:val="center"/>
              <w:rPr>
                <w:sz w:val="20"/>
                <w:szCs w:val="20"/>
              </w:rPr>
            </w:pPr>
            <w:r>
              <w:rPr>
                <w:rStyle w:val="12"/>
                <w:rFonts w:hint="default" w:ascii="Times New Roman" w:hAnsi="Times New Roman"/>
                <w:color w:val="auto"/>
                <w:sz w:val="20"/>
                <w:szCs w:val="20"/>
              </w:rPr>
              <w:t>（</w:t>
            </w:r>
            <w:r>
              <w:rPr>
                <w:rStyle w:val="15"/>
                <w:rFonts w:hint="eastAsia"/>
                <w:color w:val="auto"/>
                <w:sz w:val="20"/>
                <w:szCs w:val="20"/>
              </w:rPr>
              <w:t>6</w:t>
            </w:r>
            <w:r>
              <w:rPr>
                <w:rStyle w:val="12"/>
                <w:rFonts w:hint="default" w:ascii="Times New Roman" w:hAnsi="Times New Roman"/>
                <w:color w:val="auto"/>
                <w:sz w:val="20"/>
                <w:szCs w:val="20"/>
              </w:rPr>
              <w:t>分）</w:t>
            </w:r>
          </w:p>
        </w:tc>
        <w:tc>
          <w:tcPr>
            <w:tcW w:w="419" w:type="pct"/>
            <w:tcMar>
              <w:top w:w="15" w:type="dxa"/>
              <w:left w:w="15" w:type="dxa"/>
              <w:right w:w="15" w:type="dxa"/>
            </w:tcMar>
            <w:vAlign w:val="center"/>
          </w:tcPr>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绩效目标</w:t>
            </w:r>
          </w:p>
          <w:p>
            <w:pPr>
              <w:widowControl/>
              <w:jc w:val="center"/>
              <w:textAlignment w:val="center"/>
              <w:rPr>
                <w:sz w:val="20"/>
                <w:szCs w:val="20"/>
              </w:rPr>
            </w:pPr>
            <w:r>
              <w:rPr>
                <w:rStyle w:val="12"/>
                <w:rFonts w:hint="default" w:ascii="Times New Roman" w:hAnsi="Times New Roman"/>
                <w:color w:val="auto"/>
                <w:sz w:val="20"/>
                <w:szCs w:val="20"/>
              </w:rPr>
              <w:t>合理性</w:t>
            </w:r>
          </w:p>
        </w:tc>
        <w:tc>
          <w:tcPr>
            <w:tcW w:w="385" w:type="pct"/>
            <w:tcMar>
              <w:top w:w="15" w:type="dxa"/>
              <w:left w:w="15" w:type="dxa"/>
              <w:right w:w="15" w:type="dxa"/>
            </w:tcMar>
            <w:vAlign w:val="center"/>
          </w:tcPr>
          <w:p>
            <w:pPr>
              <w:widowControl/>
              <w:jc w:val="center"/>
              <w:textAlignment w:val="center"/>
              <w:rPr>
                <w:sz w:val="20"/>
                <w:szCs w:val="20"/>
              </w:rPr>
            </w:pPr>
            <w:r>
              <w:rPr>
                <w:rFonts w:hint="eastAsia"/>
                <w:kern w:val="0"/>
                <w:sz w:val="20"/>
                <w:szCs w:val="20"/>
              </w:rPr>
              <w:t>2</w:t>
            </w:r>
          </w:p>
        </w:tc>
        <w:tc>
          <w:tcPr>
            <w:tcW w:w="1315" w:type="pct"/>
            <w:tcMar>
              <w:top w:w="15" w:type="dxa"/>
              <w:left w:w="15" w:type="dxa"/>
              <w:right w:w="15" w:type="dxa"/>
            </w:tcMar>
            <w:vAlign w:val="center"/>
          </w:tcPr>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是否符合国家法律法规、国民经济和社会发展总体规划；</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是否符合部门</w:t>
            </w:r>
            <w:r>
              <w:rPr>
                <w:rStyle w:val="15"/>
                <w:color w:val="auto"/>
                <w:sz w:val="20"/>
                <w:szCs w:val="20"/>
              </w:rPr>
              <w:t>“</w:t>
            </w:r>
            <w:r>
              <w:rPr>
                <w:rStyle w:val="12"/>
                <w:rFonts w:hint="default" w:ascii="Times New Roman" w:hAnsi="Times New Roman"/>
                <w:color w:val="auto"/>
                <w:sz w:val="20"/>
                <w:szCs w:val="20"/>
              </w:rPr>
              <w:t>三定</w:t>
            </w:r>
            <w:r>
              <w:rPr>
                <w:rStyle w:val="15"/>
                <w:color w:val="auto"/>
                <w:sz w:val="20"/>
                <w:szCs w:val="20"/>
              </w:rPr>
              <w:t>”</w:t>
            </w:r>
            <w:r>
              <w:rPr>
                <w:rStyle w:val="12"/>
                <w:rFonts w:hint="default" w:ascii="Times New Roman" w:hAnsi="Times New Roman"/>
                <w:color w:val="auto"/>
                <w:sz w:val="20"/>
                <w:szCs w:val="20"/>
              </w:rPr>
              <w:t>方案确定的职责；</w:t>
            </w:r>
          </w:p>
          <w:p>
            <w:pPr>
              <w:widowControl/>
              <w:jc w:val="left"/>
              <w:textAlignment w:val="center"/>
              <w:rPr>
                <w:rStyle w:val="12"/>
                <w:rFonts w:hint="default" w:ascii="Times New Roman" w:hAnsi="Times New Roman"/>
                <w:color w:val="auto"/>
                <w:sz w:val="20"/>
                <w:szCs w:val="20"/>
              </w:rPr>
            </w:pPr>
            <w:r>
              <w:rPr>
                <w:rStyle w:val="12"/>
                <w:rFonts w:hint="default"/>
                <w:color w:val="auto"/>
                <w:sz w:val="20"/>
                <w:szCs w:val="20"/>
              </w:rPr>
              <w:t>③</w:t>
            </w:r>
            <w:r>
              <w:rPr>
                <w:rStyle w:val="12"/>
                <w:rFonts w:hint="default" w:ascii="Times New Roman" w:hAnsi="Times New Roman"/>
                <w:color w:val="auto"/>
                <w:sz w:val="20"/>
                <w:szCs w:val="20"/>
              </w:rPr>
              <w:t>是否符合部门制定的发展实施规划</w:t>
            </w:r>
            <w:r>
              <w:rPr>
                <w:rStyle w:val="12"/>
                <w:rFonts w:ascii="Times New Roman" w:hAnsi="Times New Roman"/>
                <w:color w:val="auto"/>
                <w:sz w:val="20"/>
                <w:szCs w:val="20"/>
              </w:rPr>
              <w:t>；</w:t>
            </w:r>
          </w:p>
          <w:p>
            <w:pPr>
              <w:widowControl/>
              <w:jc w:val="left"/>
              <w:textAlignment w:val="center"/>
              <w:rPr>
                <w:rFonts w:hint="eastAsia" w:eastAsiaTheme="minorEastAsia"/>
                <w:sz w:val="20"/>
                <w:szCs w:val="20"/>
                <w:lang w:eastAsia="zh-CN"/>
              </w:rPr>
            </w:pPr>
          </w:p>
          <w:p>
            <w:pPr>
              <w:widowControl/>
              <w:jc w:val="left"/>
              <w:textAlignment w:val="center"/>
              <w:rPr>
                <w:rFonts w:hint="eastAsia" w:eastAsiaTheme="minorEastAsia"/>
                <w:sz w:val="20"/>
                <w:szCs w:val="20"/>
                <w:lang w:eastAsia="zh-CN"/>
              </w:rPr>
            </w:pPr>
          </w:p>
        </w:tc>
        <w:tc>
          <w:tcPr>
            <w:tcW w:w="1681" w:type="pct"/>
            <w:tcMar>
              <w:top w:w="15" w:type="dxa"/>
              <w:left w:w="15" w:type="dxa"/>
              <w:right w:w="15" w:type="dxa"/>
            </w:tcMar>
            <w:vAlign w:val="center"/>
          </w:tcPr>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符合国家相关法律法规，本区域国民经济和社会发展规划，计</w:t>
            </w:r>
            <w:r>
              <w:rPr>
                <w:rStyle w:val="15"/>
                <w:color w:val="auto"/>
                <w:sz w:val="20"/>
                <w:szCs w:val="20"/>
              </w:rPr>
              <w:t>0.5</w:t>
            </w:r>
            <w:r>
              <w:rPr>
                <w:rStyle w:val="12"/>
                <w:rFonts w:hint="default" w:ascii="Times New Roman" w:hAnsi="Times New Roman"/>
                <w:color w:val="auto"/>
                <w:sz w:val="20"/>
                <w:szCs w:val="20"/>
              </w:rPr>
              <w:t>分，否则不得分；</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与部门（单位）职责密切相关，计</w:t>
            </w:r>
            <w:r>
              <w:rPr>
                <w:rStyle w:val="15"/>
                <w:color w:val="auto"/>
                <w:sz w:val="20"/>
                <w:szCs w:val="20"/>
              </w:rPr>
              <w:t>0.5</w:t>
            </w:r>
            <w:r>
              <w:rPr>
                <w:rStyle w:val="12"/>
                <w:rFonts w:hint="default" w:ascii="Times New Roman" w:hAnsi="Times New Roman"/>
                <w:color w:val="auto"/>
                <w:sz w:val="20"/>
                <w:szCs w:val="20"/>
              </w:rPr>
              <w:t>分，否则不得分；</w:t>
            </w:r>
          </w:p>
          <w:p>
            <w:pPr>
              <w:widowControl/>
              <w:textAlignment w:val="center"/>
              <w:rPr>
                <w:rStyle w:val="12"/>
                <w:rFonts w:hint="default" w:ascii="Times New Roman" w:hAnsi="Times New Roman"/>
                <w:color w:val="auto"/>
                <w:sz w:val="20"/>
                <w:szCs w:val="20"/>
              </w:rPr>
            </w:pPr>
            <w:r>
              <w:rPr>
                <w:rStyle w:val="12"/>
                <w:rFonts w:hint="default"/>
                <w:color w:val="auto"/>
                <w:sz w:val="20"/>
                <w:szCs w:val="20"/>
              </w:rPr>
              <w:t>③</w:t>
            </w:r>
            <w:r>
              <w:rPr>
                <w:rStyle w:val="12"/>
                <w:rFonts w:hint="default" w:ascii="Times New Roman" w:hAnsi="Times New Roman"/>
                <w:color w:val="auto"/>
                <w:sz w:val="20"/>
                <w:szCs w:val="20"/>
              </w:rPr>
              <w:t>符合部门制定的发展实施规划，计</w:t>
            </w:r>
            <w:r>
              <w:rPr>
                <w:rStyle w:val="15"/>
                <w:rFonts w:hint="eastAsia"/>
                <w:color w:val="auto"/>
                <w:sz w:val="20"/>
                <w:szCs w:val="20"/>
              </w:rPr>
              <w:t>0.5</w:t>
            </w:r>
            <w:r>
              <w:rPr>
                <w:rStyle w:val="12"/>
                <w:rFonts w:hint="default" w:ascii="Times New Roman" w:hAnsi="Times New Roman"/>
                <w:color w:val="auto"/>
                <w:sz w:val="20"/>
                <w:szCs w:val="20"/>
              </w:rPr>
              <w:t>分，否则不得分。</w:t>
            </w:r>
          </w:p>
          <w:p>
            <w:pPr>
              <w:widowControl/>
              <w:textAlignment w:val="center"/>
              <w:rPr>
                <w:sz w:val="20"/>
                <w:szCs w:val="20"/>
              </w:rPr>
            </w:pPr>
            <w:r>
              <w:rPr>
                <w:rFonts w:hint="eastAsia"/>
                <w:sz w:val="20"/>
                <w:szCs w:val="20"/>
              </w:rPr>
              <w:t>④按相关要求分别制定了整体绩效目标和项目绩效目标，计0.5分，否则不得分</w:t>
            </w:r>
            <w:r>
              <w:rPr>
                <w:rStyle w:val="12"/>
                <w:rFonts w:hint="default" w:ascii="Times New Roman" w:hAnsi="Times New Roman"/>
                <w:color w:val="auto"/>
                <w:sz w:val="20"/>
                <w:szCs w:val="20"/>
              </w:rPr>
              <w:t>。</w:t>
            </w:r>
          </w:p>
        </w:tc>
        <w:tc>
          <w:tcPr>
            <w:tcW w:w="390" w:type="pct"/>
            <w:tcMar>
              <w:top w:w="15" w:type="dxa"/>
              <w:left w:w="15" w:type="dxa"/>
              <w:right w:w="15" w:type="dxa"/>
            </w:tcMar>
            <w:vAlign w:val="center"/>
          </w:tcPr>
          <w:p>
            <w:pPr>
              <w:widowControl/>
              <w:textAlignment w:val="center"/>
              <w:rPr>
                <w:rStyle w:val="12"/>
                <w:rFonts w:hint="default"/>
                <w:color w:val="auto"/>
                <w:sz w:val="20"/>
                <w:szCs w:val="20"/>
              </w:rPr>
            </w:pPr>
            <w:r>
              <w:rPr>
                <w:rStyle w:val="12"/>
                <w:rFonts w:hint="default"/>
                <w:color w:val="auto"/>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2" w:hRule="atLeast"/>
        </w:trPr>
        <w:tc>
          <w:tcPr>
            <w:tcW w:w="438" w:type="pct"/>
            <w:vMerge w:val="continue"/>
            <w:tcMar>
              <w:top w:w="15" w:type="dxa"/>
              <w:left w:w="15" w:type="dxa"/>
              <w:right w:w="15" w:type="dxa"/>
            </w:tcMar>
            <w:vAlign w:val="center"/>
          </w:tcPr>
          <w:p>
            <w:pPr>
              <w:widowControl/>
              <w:jc w:val="center"/>
              <w:rPr>
                <w:sz w:val="20"/>
                <w:szCs w:val="20"/>
              </w:rPr>
            </w:pPr>
          </w:p>
        </w:tc>
        <w:tc>
          <w:tcPr>
            <w:tcW w:w="372" w:type="pct"/>
            <w:vMerge w:val="continue"/>
            <w:tcMar>
              <w:top w:w="15" w:type="dxa"/>
              <w:left w:w="15" w:type="dxa"/>
              <w:right w:w="15" w:type="dxa"/>
            </w:tcMar>
            <w:vAlign w:val="center"/>
          </w:tcPr>
          <w:p>
            <w:pPr>
              <w:widowControl/>
              <w:jc w:val="center"/>
              <w:rPr>
                <w:sz w:val="20"/>
                <w:szCs w:val="20"/>
              </w:rPr>
            </w:pPr>
          </w:p>
        </w:tc>
        <w:tc>
          <w:tcPr>
            <w:tcW w:w="419" w:type="pct"/>
            <w:tcMar>
              <w:top w:w="15" w:type="dxa"/>
              <w:left w:w="15" w:type="dxa"/>
              <w:right w:w="15" w:type="dxa"/>
            </w:tcMar>
            <w:vAlign w:val="center"/>
          </w:tcPr>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绩效指标</w:t>
            </w:r>
          </w:p>
          <w:p>
            <w:pPr>
              <w:widowControl/>
              <w:jc w:val="center"/>
              <w:textAlignment w:val="center"/>
              <w:rPr>
                <w:sz w:val="20"/>
                <w:szCs w:val="20"/>
              </w:rPr>
            </w:pPr>
            <w:r>
              <w:rPr>
                <w:rStyle w:val="12"/>
                <w:rFonts w:hint="default" w:ascii="Times New Roman" w:hAnsi="Times New Roman"/>
                <w:color w:val="auto"/>
                <w:sz w:val="20"/>
                <w:szCs w:val="20"/>
              </w:rPr>
              <w:t>明确性</w:t>
            </w:r>
          </w:p>
        </w:tc>
        <w:tc>
          <w:tcPr>
            <w:tcW w:w="385" w:type="pct"/>
            <w:tcMar>
              <w:top w:w="15" w:type="dxa"/>
              <w:left w:w="15" w:type="dxa"/>
              <w:right w:w="15" w:type="dxa"/>
            </w:tcMar>
            <w:vAlign w:val="center"/>
          </w:tcPr>
          <w:p>
            <w:pPr>
              <w:widowControl/>
              <w:jc w:val="center"/>
              <w:textAlignment w:val="center"/>
              <w:rPr>
                <w:sz w:val="20"/>
                <w:szCs w:val="20"/>
              </w:rPr>
            </w:pPr>
            <w:r>
              <w:rPr>
                <w:rFonts w:hint="eastAsia"/>
                <w:kern w:val="0"/>
                <w:sz w:val="20"/>
                <w:szCs w:val="20"/>
              </w:rPr>
              <w:t>4</w:t>
            </w:r>
          </w:p>
        </w:tc>
        <w:tc>
          <w:tcPr>
            <w:tcW w:w="1315" w:type="pct"/>
            <w:tcMar>
              <w:top w:w="15" w:type="dxa"/>
              <w:left w:w="15" w:type="dxa"/>
              <w:right w:w="15" w:type="dxa"/>
            </w:tcMar>
            <w:vAlign w:val="center"/>
          </w:tcPr>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是否将部门整体的绩效目标细化分解为具体的工作任务；</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是否通过清晰、可衡量的指标值予以体现。</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③</w:t>
            </w:r>
            <w:r>
              <w:rPr>
                <w:rStyle w:val="12"/>
                <w:rFonts w:hint="default" w:ascii="Times New Roman" w:hAnsi="Times New Roman"/>
                <w:color w:val="auto"/>
                <w:sz w:val="20"/>
                <w:szCs w:val="20"/>
              </w:rPr>
              <w:t>是否与部门年度的任务数或计划数相对应；</w:t>
            </w:r>
          </w:p>
          <w:p>
            <w:pPr>
              <w:widowControl/>
              <w:jc w:val="left"/>
              <w:textAlignment w:val="center"/>
              <w:rPr>
                <w:rStyle w:val="12"/>
                <w:rFonts w:hint="default" w:ascii="Times New Roman" w:hAnsi="Times New Roman"/>
                <w:color w:val="auto"/>
                <w:sz w:val="20"/>
                <w:szCs w:val="20"/>
              </w:rPr>
            </w:pPr>
            <w:r>
              <w:rPr>
                <w:rStyle w:val="12"/>
                <w:rFonts w:hint="default"/>
                <w:color w:val="auto"/>
                <w:sz w:val="20"/>
                <w:szCs w:val="20"/>
              </w:rPr>
              <w:t>④</w:t>
            </w:r>
            <w:r>
              <w:rPr>
                <w:rStyle w:val="12"/>
                <w:rFonts w:hint="default" w:ascii="Times New Roman" w:hAnsi="Times New Roman"/>
                <w:color w:val="auto"/>
                <w:sz w:val="20"/>
                <w:szCs w:val="20"/>
              </w:rPr>
              <w:t>是否与本年度部门预算资金相匹配。</w:t>
            </w:r>
          </w:p>
          <w:p>
            <w:pPr>
              <w:widowControl/>
              <w:jc w:val="left"/>
              <w:textAlignment w:val="center"/>
              <w:rPr>
                <w:sz w:val="20"/>
                <w:szCs w:val="20"/>
              </w:rPr>
            </w:pPr>
            <w:r>
              <w:rPr>
                <w:rFonts w:hint="eastAsia"/>
                <w:sz w:val="20"/>
                <w:szCs w:val="20"/>
              </w:rPr>
              <w:t>⑤</w:t>
            </w:r>
            <w:r>
              <w:rPr>
                <w:rStyle w:val="12"/>
                <w:rFonts w:hint="default" w:ascii="Times New Roman" w:hAnsi="Times New Roman"/>
                <w:color w:val="auto"/>
                <w:sz w:val="20"/>
                <w:szCs w:val="20"/>
              </w:rPr>
              <w:t>公共</w:t>
            </w:r>
            <w:r>
              <w:rPr>
                <w:rFonts w:hint="eastAsia"/>
                <w:sz w:val="20"/>
                <w:szCs w:val="20"/>
              </w:rPr>
              <w:t>项目绩效指标是否细化、是否具有明确性。</w:t>
            </w:r>
          </w:p>
        </w:tc>
        <w:tc>
          <w:tcPr>
            <w:tcW w:w="1681" w:type="pct"/>
            <w:tcMar>
              <w:top w:w="15" w:type="dxa"/>
              <w:left w:w="15" w:type="dxa"/>
              <w:right w:w="15" w:type="dxa"/>
            </w:tcMar>
            <w:vAlign w:val="center"/>
          </w:tcPr>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有目标，计</w:t>
            </w:r>
            <w:r>
              <w:rPr>
                <w:rStyle w:val="12"/>
                <w:rFonts w:ascii="Times New Roman" w:hAnsi="Times New Roman"/>
                <w:color w:val="auto"/>
                <w:sz w:val="20"/>
                <w:szCs w:val="20"/>
              </w:rPr>
              <w:t>0.5</w:t>
            </w:r>
            <w:r>
              <w:rPr>
                <w:rStyle w:val="12"/>
                <w:rFonts w:hint="default" w:ascii="Times New Roman" w:hAnsi="Times New Roman"/>
                <w:color w:val="auto"/>
                <w:sz w:val="20"/>
                <w:szCs w:val="20"/>
              </w:rPr>
              <w:t>分，否则不得分；</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目标明确，细化量化良好，个性指标中量化指标超过</w:t>
            </w:r>
            <w:r>
              <w:rPr>
                <w:rStyle w:val="15"/>
                <w:color w:val="auto"/>
                <w:sz w:val="20"/>
                <w:szCs w:val="20"/>
              </w:rPr>
              <w:t>3</w:t>
            </w:r>
            <w:r>
              <w:rPr>
                <w:rStyle w:val="12"/>
                <w:rFonts w:hint="default" w:ascii="Times New Roman" w:hAnsi="Times New Roman"/>
                <w:color w:val="auto"/>
                <w:sz w:val="20"/>
                <w:szCs w:val="20"/>
              </w:rPr>
              <w:t>个，计1分，量化指标为</w:t>
            </w:r>
            <w:r>
              <w:rPr>
                <w:rStyle w:val="15"/>
                <w:color w:val="auto"/>
                <w:sz w:val="20"/>
                <w:szCs w:val="20"/>
              </w:rPr>
              <w:t>2</w:t>
            </w:r>
            <w:r>
              <w:rPr>
                <w:rStyle w:val="12"/>
                <w:rFonts w:hint="default" w:ascii="Times New Roman" w:hAnsi="Times New Roman"/>
                <w:color w:val="auto"/>
                <w:sz w:val="20"/>
                <w:szCs w:val="20"/>
              </w:rPr>
              <w:t>个，计</w:t>
            </w:r>
            <w:r>
              <w:rPr>
                <w:rStyle w:val="15"/>
                <w:color w:val="auto"/>
                <w:sz w:val="20"/>
                <w:szCs w:val="20"/>
              </w:rPr>
              <w:t>0.5</w:t>
            </w:r>
            <w:r>
              <w:rPr>
                <w:rStyle w:val="12"/>
                <w:rFonts w:hint="default" w:ascii="Times New Roman" w:hAnsi="Times New Roman"/>
                <w:color w:val="auto"/>
                <w:sz w:val="20"/>
                <w:szCs w:val="20"/>
              </w:rPr>
              <w:t>分，</w:t>
            </w:r>
            <w:r>
              <w:rPr>
                <w:rStyle w:val="15"/>
                <w:color w:val="auto"/>
                <w:sz w:val="20"/>
                <w:szCs w:val="20"/>
              </w:rPr>
              <w:t>2</w:t>
            </w:r>
            <w:r>
              <w:rPr>
                <w:rStyle w:val="12"/>
                <w:rFonts w:hint="default" w:ascii="Times New Roman" w:hAnsi="Times New Roman"/>
                <w:color w:val="auto"/>
                <w:sz w:val="20"/>
                <w:szCs w:val="20"/>
              </w:rPr>
              <w:t>个以下不得分；</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③</w:t>
            </w:r>
            <w:r>
              <w:rPr>
                <w:rStyle w:val="12"/>
                <w:rFonts w:hint="default" w:ascii="Times New Roman" w:hAnsi="Times New Roman"/>
                <w:color w:val="auto"/>
                <w:sz w:val="20"/>
                <w:szCs w:val="20"/>
              </w:rPr>
              <w:t>与年度任务数或计划数相对应，计1分，低于</w:t>
            </w:r>
            <w:r>
              <w:rPr>
                <w:rStyle w:val="15"/>
                <w:color w:val="auto"/>
                <w:sz w:val="20"/>
                <w:szCs w:val="20"/>
              </w:rPr>
              <w:t>2</w:t>
            </w:r>
            <w:r>
              <w:rPr>
                <w:rStyle w:val="12"/>
                <w:rFonts w:hint="default" w:ascii="Times New Roman" w:hAnsi="Times New Roman"/>
                <w:color w:val="auto"/>
                <w:sz w:val="20"/>
                <w:szCs w:val="20"/>
              </w:rPr>
              <w:t>个，计0.5分，低于</w:t>
            </w:r>
            <w:r>
              <w:rPr>
                <w:rStyle w:val="15"/>
                <w:color w:val="auto"/>
                <w:sz w:val="20"/>
                <w:szCs w:val="20"/>
              </w:rPr>
              <w:t>4</w:t>
            </w:r>
            <w:r>
              <w:rPr>
                <w:rStyle w:val="12"/>
                <w:rFonts w:hint="default" w:ascii="Times New Roman" w:hAnsi="Times New Roman"/>
                <w:color w:val="auto"/>
                <w:sz w:val="20"/>
                <w:szCs w:val="20"/>
              </w:rPr>
              <w:t>个不得分；</w:t>
            </w:r>
          </w:p>
          <w:p>
            <w:pPr>
              <w:widowControl/>
              <w:textAlignment w:val="center"/>
              <w:rPr>
                <w:rStyle w:val="12"/>
                <w:rFonts w:hint="default" w:ascii="Times New Roman" w:hAnsi="Times New Roman"/>
                <w:color w:val="auto"/>
                <w:sz w:val="20"/>
                <w:szCs w:val="20"/>
              </w:rPr>
            </w:pPr>
            <w:r>
              <w:rPr>
                <w:rStyle w:val="12"/>
                <w:rFonts w:hint="default"/>
                <w:color w:val="auto"/>
                <w:sz w:val="20"/>
                <w:szCs w:val="20"/>
              </w:rPr>
              <w:t>④</w:t>
            </w:r>
            <w:r>
              <w:rPr>
                <w:rStyle w:val="12"/>
                <w:rFonts w:hint="default" w:ascii="Times New Roman" w:hAnsi="Times New Roman"/>
                <w:color w:val="auto"/>
                <w:sz w:val="20"/>
                <w:szCs w:val="20"/>
              </w:rPr>
              <w:t>目标与资金匹配良好，逻辑关系明确，计</w:t>
            </w:r>
            <w:r>
              <w:rPr>
                <w:rStyle w:val="12"/>
                <w:rFonts w:ascii="Times New Roman" w:hAnsi="Times New Roman"/>
                <w:color w:val="auto"/>
                <w:sz w:val="20"/>
                <w:szCs w:val="20"/>
              </w:rPr>
              <w:t>0.5</w:t>
            </w:r>
            <w:r>
              <w:rPr>
                <w:rStyle w:val="12"/>
                <w:rFonts w:hint="default" w:ascii="Times New Roman" w:hAnsi="Times New Roman"/>
                <w:color w:val="auto"/>
                <w:sz w:val="20"/>
                <w:szCs w:val="20"/>
              </w:rPr>
              <w:t>分，否则不得分。</w:t>
            </w:r>
          </w:p>
          <w:p>
            <w:pPr>
              <w:widowControl/>
              <w:textAlignment w:val="center"/>
              <w:rPr>
                <w:sz w:val="20"/>
                <w:szCs w:val="20"/>
              </w:rPr>
            </w:pPr>
            <w:r>
              <w:rPr>
                <w:rFonts w:hint="eastAsia"/>
                <w:sz w:val="20"/>
                <w:szCs w:val="20"/>
              </w:rPr>
              <w:t>⑤公共项目绩效指标细化、明确性，计1分</w:t>
            </w:r>
            <w:r>
              <w:rPr>
                <w:rStyle w:val="12"/>
                <w:rFonts w:hint="default" w:ascii="Times New Roman" w:hAnsi="Times New Roman"/>
                <w:color w:val="auto"/>
                <w:sz w:val="20"/>
                <w:szCs w:val="20"/>
              </w:rPr>
              <w:t>，存在</w:t>
            </w:r>
            <w:r>
              <w:rPr>
                <w:rStyle w:val="15"/>
                <w:color w:val="auto"/>
                <w:sz w:val="20"/>
                <w:szCs w:val="20"/>
              </w:rPr>
              <w:t>4</w:t>
            </w:r>
            <w:r>
              <w:rPr>
                <w:rStyle w:val="12"/>
                <w:rFonts w:hint="default" w:ascii="Times New Roman" w:hAnsi="Times New Roman"/>
                <w:color w:val="auto"/>
                <w:sz w:val="20"/>
                <w:szCs w:val="20"/>
              </w:rPr>
              <w:t>个及以上公共</w:t>
            </w:r>
            <w:r>
              <w:rPr>
                <w:rFonts w:hint="eastAsia"/>
                <w:sz w:val="20"/>
                <w:szCs w:val="20"/>
              </w:rPr>
              <w:t>项目绩效指标未细化、不具有明确性</w:t>
            </w:r>
            <w:r>
              <w:rPr>
                <w:rStyle w:val="12"/>
                <w:rFonts w:hint="default" w:ascii="Times New Roman" w:hAnsi="Times New Roman"/>
                <w:color w:val="auto"/>
                <w:sz w:val="20"/>
                <w:szCs w:val="20"/>
              </w:rPr>
              <w:t>不得分</w:t>
            </w:r>
            <w:r>
              <w:rPr>
                <w:rFonts w:hint="eastAsia"/>
                <w:sz w:val="20"/>
                <w:szCs w:val="20"/>
              </w:rPr>
              <w:t>。</w:t>
            </w: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38" w:type="pct"/>
            <w:vMerge w:val="continue"/>
            <w:tcMar>
              <w:top w:w="15" w:type="dxa"/>
              <w:left w:w="15" w:type="dxa"/>
              <w:right w:w="15" w:type="dxa"/>
            </w:tcMar>
            <w:vAlign w:val="center"/>
          </w:tcPr>
          <w:p>
            <w:pPr>
              <w:widowControl/>
              <w:jc w:val="center"/>
              <w:rPr>
                <w:sz w:val="20"/>
                <w:szCs w:val="20"/>
              </w:rPr>
            </w:pPr>
          </w:p>
        </w:tc>
        <w:tc>
          <w:tcPr>
            <w:tcW w:w="372" w:type="pct"/>
            <w:vMerge w:val="restar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预算</w:t>
            </w:r>
          </w:p>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配置</w:t>
            </w:r>
          </w:p>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w:t>
            </w:r>
            <w:r>
              <w:rPr>
                <w:rStyle w:val="15"/>
                <w:rFonts w:hint="eastAsia"/>
                <w:color w:val="auto"/>
                <w:sz w:val="20"/>
                <w:szCs w:val="20"/>
              </w:rPr>
              <w:t>3</w:t>
            </w:r>
            <w:r>
              <w:rPr>
                <w:rStyle w:val="12"/>
                <w:rFonts w:hint="default" w:ascii="Times New Roman" w:hAnsi="Times New Roman"/>
                <w:color w:val="auto"/>
                <w:sz w:val="20"/>
                <w:szCs w:val="20"/>
              </w:rPr>
              <w:t>分）</w:t>
            </w: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人员</w:t>
            </w:r>
          </w:p>
          <w:p>
            <w:pPr>
              <w:widowControl/>
              <w:jc w:val="center"/>
              <w:textAlignment w:val="center"/>
              <w:rPr>
                <w:sz w:val="20"/>
                <w:szCs w:val="20"/>
              </w:rPr>
            </w:pPr>
            <w:r>
              <w:rPr>
                <w:rStyle w:val="12"/>
                <w:rFonts w:hint="default" w:ascii="Times New Roman" w:hAnsi="Times New Roman"/>
                <w:color w:val="auto"/>
                <w:sz w:val="20"/>
                <w:szCs w:val="20"/>
              </w:rPr>
              <w:t>控制率</w:t>
            </w:r>
          </w:p>
        </w:tc>
        <w:tc>
          <w:tcPr>
            <w:tcW w:w="385" w:type="pct"/>
            <w:tcMar>
              <w:top w:w="15" w:type="dxa"/>
              <w:left w:w="15" w:type="dxa"/>
              <w:right w:w="15" w:type="dxa"/>
            </w:tcMar>
            <w:vAlign w:val="center"/>
          </w:tcPr>
          <w:p>
            <w:pPr>
              <w:widowControl/>
              <w:jc w:val="center"/>
              <w:textAlignment w:val="center"/>
              <w:rPr>
                <w:sz w:val="20"/>
                <w:szCs w:val="20"/>
              </w:rPr>
            </w:pPr>
            <w:r>
              <w:rPr>
                <w:rFonts w:hint="eastAsia"/>
                <w:kern w:val="0"/>
                <w:sz w:val="20"/>
                <w:szCs w:val="20"/>
              </w:rPr>
              <w:t>2</w:t>
            </w:r>
          </w:p>
        </w:tc>
        <w:tc>
          <w:tcPr>
            <w:tcW w:w="1315" w:type="pct"/>
            <w:tcMar>
              <w:top w:w="15" w:type="dxa"/>
              <w:left w:w="15" w:type="dxa"/>
              <w:right w:w="15" w:type="dxa"/>
            </w:tcMar>
            <w:vAlign w:val="center"/>
          </w:tcPr>
          <w:p>
            <w:pPr>
              <w:widowControl/>
              <w:jc w:val="left"/>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在职人员控制率</w:t>
            </w:r>
            <w:r>
              <w:rPr>
                <w:rStyle w:val="15"/>
                <w:color w:val="auto"/>
                <w:sz w:val="20"/>
                <w:szCs w:val="20"/>
              </w:rPr>
              <w:t>=</w:t>
            </w:r>
            <w:r>
              <w:rPr>
                <w:rStyle w:val="12"/>
                <w:rFonts w:hint="default" w:ascii="Times New Roman" w:hAnsi="Times New Roman"/>
                <w:color w:val="auto"/>
                <w:sz w:val="20"/>
                <w:szCs w:val="20"/>
              </w:rPr>
              <w:t>（在职人员数</w:t>
            </w:r>
            <w:r>
              <w:rPr>
                <w:rStyle w:val="15"/>
                <w:color w:val="auto"/>
                <w:sz w:val="20"/>
                <w:szCs w:val="20"/>
              </w:rPr>
              <w:t>/</w:t>
            </w:r>
            <w:r>
              <w:rPr>
                <w:rStyle w:val="12"/>
                <w:rFonts w:hint="default" w:ascii="Times New Roman" w:hAnsi="Times New Roman"/>
                <w:color w:val="auto"/>
                <w:sz w:val="20"/>
                <w:szCs w:val="20"/>
              </w:rPr>
              <w:t>编制数）</w:t>
            </w:r>
            <w:r>
              <w:rPr>
                <w:rStyle w:val="15"/>
                <w:color w:val="auto"/>
                <w:sz w:val="20"/>
                <w:szCs w:val="20"/>
              </w:rPr>
              <w:t>×100%</w:t>
            </w:r>
            <w:r>
              <w:rPr>
                <w:rStyle w:val="12"/>
                <w:rFonts w:hint="default" w:ascii="Times New Roman" w:hAnsi="Times New Roman"/>
                <w:color w:val="auto"/>
                <w:sz w:val="20"/>
                <w:szCs w:val="20"/>
              </w:rPr>
              <w:t>。</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聘用人员控制率</w:t>
            </w:r>
            <w:r>
              <w:rPr>
                <w:rStyle w:val="12"/>
                <w:rFonts w:hint="default"/>
                <w:color w:val="auto"/>
                <w:sz w:val="20"/>
                <w:szCs w:val="20"/>
              </w:rPr>
              <w:t>≦</w:t>
            </w:r>
            <w:r>
              <w:rPr>
                <w:rStyle w:val="12"/>
                <w:rFonts w:hint="default" w:ascii="Times New Roman" w:hAnsi="Times New Roman"/>
                <w:color w:val="auto"/>
                <w:sz w:val="20"/>
                <w:szCs w:val="20"/>
              </w:rPr>
              <w:t>人社和编办共同批复的人数；</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在职人员数：部门（单位）实际在职人数</w:t>
            </w:r>
            <w:r>
              <w:rPr>
                <w:rStyle w:val="15"/>
                <w:color w:val="auto"/>
                <w:sz w:val="20"/>
                <w:szCs w:val="20"/>
              </w:rPr>
              <w:t>，</w:t>
            </w:r>
            <w:r>
              <w:rPr>
                <w:rStyle w:val="12"/>
                <w:rFonts w:hint="default" w:ascii="Times New Roman" w:hAnsi="Times New Roman"/>
                <w:color w:val="auto"/>
                <w:sz w:val="20"/>
                <w:szCs w:val="20"/>
              </w:rPr>
              <w:t>以财政部门确定的部门决算编制口径为准。</w:t>
            </w:r>
          </w:p>
          <w:p>
            <w:pPr>
              <w:widowControl/>
              <w:jc w:val="left"/>
              <w:textAlignment w:val="center"/>
              <w:rPr>
                <w:sz w:val="20"/>
                <w:szCs w:val="20"/>
              </w:rPr>
            </w:pPr>
            <w:r>
              <w:rPr>
                <w:rStyle w:val="12"/>
                <w:rFonts w:hint="default" w:ascii="Times New Roman" w:hAnsi="Times New Roman"/>
                <w:color w:val="auto"/>
                <w:sz w:val="20"/>
                <w:szCs w:val="20"/>
              </w:rPr>
              <w:t>编制数：机构编制部门核定批复的部门（单位）的人员编制数。</w:t>
            </w:r>
          </w:p>
        </w:tc>
        <w:tc>
          <w:tcPr>
            <w:tcW w:w="1681" w:type="pct"/>
            <w:tcMar>
              <w:top w:w="15" w:type="dxa"/>
              <w:left w:w="15" w:type="dxa"/>
              <w:right w:w="15" w:type="dxa"/>
            </w:tcMar>
            <w:vAlign w:val="center"/>
          </w:tcPr>
          <w:p>
            <w:pPr>
              <w:widowControl/>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在职人员控制率</w:t>
            </w:r>
            <w:r>
              <w:rPr>
                <w:rStyle w:val="12"/>
                <w:rFonts w:hint="default"/>
                <w:color w:val="auto"/>
                <w:sz w:val="20"/>
                <w:szCs w:val="20"/>
              </w:rPr>
              <w:t>≦</w:t>
            </w:r>
            <w:r>
              <w:rPr>
                <w:rStyle w:val="15"/>
                <w:color w:val="auto"/>
                <w:sz w:val="20"/>
                <w:szCs w:val="20"/>
              </w:rPr>
              <w:t>100%</w:t>
            </w:r>
            <w:r>
              <w:rPr>
                <w:rStyle w:val="12"/>
                <w:rFonts w:hint="default" w:ascii="Times New Roman" w:hAnsi="Times New Roman"/>
                <w:color w:val="auto"/>
                <w:sz w:val="20"/>
                <w:szCs w:val="20"/>
              </w:rPr>
              <w:t>计</w:t>
            </w:r>
            <w:r>
              <w:rPr>
                <w:rStyle w:val="15"/>
                <w:rFonts w:hint="eastAsia"/>
                <w:color w:val="auto"/>
                <w:sz w:val="20"/>
                <w:szCs w:val="20"/>
              </w:rPr>
              <w:t>1</w:t>
            </w:r>
            <w:r>
              <w:rPr>
                <w:rStyle w:val="12"/>
                <w:rFonts w:hint="default" w:ascii="Times New Roman" w:hAnsi="Times New Roman"/>
                <w:color w:val="auto"/>
                <w:sz w:val="20"/>
                <w:szCs w:val="20"/>
              </w:rPr>
              <w:t>分，每超出</w:t>
            </w:r>
            <w:r>
              <w:rPr>
                <w:rStyle w:val="15"/>
                <w:color w:val="auto"/>
                <w:sz w:val="20"/>
                <w:szCs w:val="20"/>
              </w:rPr>
              <w:t>1%</w:t>
            </w:r>
            <w:r>
              <w:rPr>
                <w:rStyle w:val="12"/>
                <w:rFonts w:hint="default" w:ascii="Times New Roman" w:hAnsi="Times New Roman"/>
                <w:color w:val="auto"/>
                <w:sz w:val="20"/>
                <w:szCs w:val="20"/>
              </w:rPr>
              <w:t>扣</w:t>
            </w:r>
            <w:r>
              <w:rPr>
                <w:rStyle w:val="15"/>
                <w:color w:val="auto"/>
                <w:sz w:val="20"/>
                <w:szCs w:val="20"/>
              </w:rPr>
              <w:t>0.2</w:t>
            </w:r>
            <w:r>
              <w:rPr>
                <w:rStyle w:val="12"/>
                <w:rFonts w:hint="default" w:ascii="Times New Roman" w:hAnsi="Times New Roman"/>
                <w:color w:val="auto"/>
                <w:sz w:val="20"/>
                <w:szCs w:val="20"/>
              </w:rPr>
              <w:t>分，扣完为止。</w:t>
            </w:r>
          </w:p>
          <w:p>
            <w:pPr>
              <w:widowControl/>
              <w:textAlignment w:val="center"/>
              <w:rPr>
                <w:sz w:val="20"/>
                <w:szCs w:val="20"/>
              </w:rPr>
            </w:pPr>
            <w:r>
              <w:rPr>
                <w:rStyle w:val="14"/>
                <w:rFonts w:hint="default"/>
                <w:color w:val="auto"/>
                <w:sz w:val="20"/>
                <w:szCs w:val="20"/>
              </w:rPr>
              <w:t>聘用人员实际使用数小于等于编办人社部门批复数，计</w:t>
            </w:r>
            <w:r>
              <w:rPr>
                <w:rStyle w:val="13"/>
                <w:rFonts w:hint="eastAsia"/>
                <w:color w:val="auto"/>
                <w:sz w:val="20"/>
                <w:szCs w:val="20"/>
              </w:rPr>
              <w:t>1</w:t>
            </w:r>
            <w:r>
              <w:rPr>
                <w:rStyle w:val="14"/>
                <w:rFonts w:hint="default"/>
                <w:color w:val="auto"/>
                <w:sz w:val="20"/>
                <w:szCs w:val="20"/>
              </w:rPr>
              <w:t>分，否则不得分。</w:t>
            </w: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6" w:hRule="atLeast"/>
        </w:trPr>
        <w:tc>
          <w:tcPr>
            <w:tcW w:w="438" w:type="pct"/>
            <w:vMerge w:val="continue"/>
            <w:tcMar>
              <w:top w:w="15" w:type="dxa"/>
              <w:left w:w="15" w:type="dxa"/>
              <w:right w:w="15" w:type="dxa"/>
            </w:tcMar>
            <w:vAlign w:val="center"/>
          </w:tcPr>
          <w:p>
            <w:pPr>
              <w:widowControl/>
              <w:jc w:val="center"/>
              <w:rPr>
                <w:sz w:val="20"/>
                <w:szCs w:val="20"/>
              </w:rPr>
            </w:pPr>
          </w:p>
        </w:tc>
        <w:tc>
          <w:tcPr>
            <w:tcW w:w="372" w:type="pct"/>
            <w:vMerge w:val="continue"/>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r>
              <w:rPr>
                <w:rFonts w:ascii="Times New Roman" w:hAnsi="Times New Roman"/>
                <w:kern w:val="0"/>
                <w:sz w:val="20"/>
                <w:szCs w:val="20"/>
              </w:rPr>
              <w:t>“三公经费”变动率</w:t>
            </w:r>
          </w:p>
        </w:tc>
        <w:tc>
          <w:tcPr>
            <w:tcW w:w="385" w:type="pct"/>
            <w:tcMar>
              <w:top w:w="15" w:type="dxa"/>
              <w:left w:w="15" w:type="dxa"/>
              <w:right w:w="15" w:type="dxa"/>
            </w:tcMar>
            <w:vAlign w:val="center"/>
          </w:tcPr>
          <w:p>
            <w:pPr>
              <w:widowControl/>
              <w:jc w:val="center"/>
              <w:textAlignment w:val="center"/>
              <w:rPr>
                <w:kern w:val="0"/>
                <w:sz w:val="20"/>
                <w:szCs w:val="20"/>
                <w:shd w:val="pct10" w:color="auto" w:fill="FFFFFF"/>
              </w:rPr>
            </w:pPr>
            <w:r>
              <w:rPr>
                <w:rFonts w:hint="eastAsia"/>
                <w:kern w:val="0"/>
                <w:sz w:val="20"/>
                <w:szCs w:val="20"/>
              </w:rPr>
              <w:t>1</w:t>
            </w:r>
          </w:p>
        </w:tc>
        <w:tc>
          <w:tcPr>
            <w:tcW w:w="1315" w:type="pct"/>
            <w:tcMar>
              <w:top w:w="15" w:type="dxa"/>
              <w:left w:w="15" w:type="dxa"/>
              <w:right w:w="15" w:type="dxa"/>
            </w:tcMar>
            <w:vAlign w:val="center"/>
          </w:tcPr>
          <w:p>
            <w:pPr>
              <w:widowControl/>
              <w:rPr>
                <w:rFonts w:ascii="Times New Roman" w:hAnsi="Times New Roman"/>
                <w:kern w:val="0"/>
                <w:sz w:val="20"/>
                <w:szCs w:val="20"/>
              </w:rPr>
            </w:pPr>
            <w:r>
              <w:rPr>
                <w:rFonts w:ascii="Times New Roman" w:hAnsi="Times New Roman"/>
                <w:kern w:val="0"/>
                <w:sz w:val="20"/>
                <w:szCs w:val="20"/>
              </w:rPr>
              <w:t>“三公经费”变动率</w:t>
            </w:r>
            <w:r>
              <w:rPr>
                <w:rFonts w:hint="eastAsia" w:ascii="宋体" w:hAnsi="宋体" w:cs="宋体"/>
                <w:kern w:val="0"/>
                <w:sz w:val="20"/>
                <w:szCs w:val="20"/>
              </w:rPr>
              <w:t>≦</w:t>
            </w:r>
            <w:r>
              <w:rPr>
                <w:rFonts w:ascii="Times New Roman" w:hAnsi="Times New Roman"/>
                <w:kern w:val="0"/>
                <w:sz w:val="20"/>
                <w:szCs w:val="20"/>
              </w:rPr>
              <w:t>0</w:t>
            </w:r>
            <w:r>
              <w:rPr>
                <w:rFonts w:hint="eastAsia" w:ascii="Times New Roman" w:hAnsi="Times New Roman"/>
                <w:kern w:val="0"/>
                <w:sz w:val="20"/>
                <w:szCs w:val="20"/>
              </w:rPr>
              <w:t>，</w:t>
            </w:r>
            <w:r>
              <w:rPr>
                <w:rFonts w:ascii="Times New Roman" w:hAnsi="Times New Roman"/>
                <w:kern w:val="0"/>
                <w:sz w:val="20"/>
                <w:szCs w:val="20"/>
              </w:rPr>
              <w:t>计</w:t>
            </w:r>
            <w:r>
              <w:rPr>
                <w:rFonts w:hint="eastAsia" w:ascii="Times New Roman" w:hAnsi="Times New Roman"/>
                <w:kern w:val="0"/>
                <w:sz w:val="20"/>
                <w:szCs w:val="20"/>
              </w:rPr>
              <w:t>1</w:t>
            </w:r>
            <w:r>
              <w:rPr>
                <w:rFonts w:ascii="Times New Roman" w:hAnsi="Times New Roman"/>
                <w:kern w:val="0"/>
                <w:sz w:val="20"/>
                <w:szCs w:val="20"/>
              </w:rPr>
              <w:t>分；“三公经费”＞0，每超过一个百分点扣</w:t>
            </w:r>
            <w:r>
              <w:rPr>
                <w:rFonts w:hint="eastAsia" w:ascii="Times New Roman" w:hAnsi="Times New Roman"/>
                <w:kern w:val="0"/>
                <w:sz w:val="20"/>
                <w:szCs w:val="20"/>
              </w:rPr>
              <w:t>0.2</w:t>
            </w:r>
            <w:r>
              <w:rPr>
                <w:rFonts w:ascii="Times New Roman" w:hAnsi="Times New Roman"/>
                <w:kern w:val="0"/>
                <w:sz w:val="20"/>
                <w:szCs w:val="20"/>
              </w:rPr>
              <w:t>分，扣完为止。</w:t>
            </w:r>
          </w:p>
        </w:tc>
        <w:tc>
          <w:tcPr>
            <w:tcW w:w="1681" w:type="pct"/>
            <w:tcMar>
              <w:top w:w="15" w:type="dxa"/>
              <w:left w:w="15" w:type="dxa"/>
              <w:right w:w="15" w:type="dxa"/>
            </w:tcMar>
            <w:vAlign w:val="center"/>
          </w:tcPr>
          <w:p>
            <w:pPr>
              <w:widowControl/>
              <w:rPr>
                <w:rFonts w:ascii="Times New Roman" w:hAnsi="Times New Roman"/>
                <w:kern w:val="0"/>
                <w:sz w:val="20"/>
                <w:szCs w:val="20"/>
              </w:rPr>
            </w:pPr>
            <w:r>
              <w:rPr>
                <w:rFonts w:ascii="Times New Roman" w:hAnsi="Times New Roman"/>
                <w:kern w:val="0"/>
                <w:sz w:val="20"/>
                <w:szCs w:val="20"/>
              </w:rPr>
              <w:t>“三公经费”变动率=[（本年度“三公经费”预算数-上年度“三公经费”预算数）/上年度“三公经费”预算数]×100%</w:t>
            </w:r>
          </w:p>
        </w:tc>
        <w:tc>
          <w:tcPr>
            <w:tcW w:w="390" w:type="pct"/>
            <w:tcMar>
              <w:top w:w="15" w:type="dxa"/>
              <w:left w:w="15" w:type="dxa"/>
              <w:right w:w="15" w:type="dxa"/>
            </w:tcMar>
            <w:vAlign w:val="center"/>
          </w:tcPr>
          <w:p>
            <w:pPr>
              <w:widowControl/>
              <w:rPr>
                <w:rFonts w:ascii="Times New Roman" w:hAnsi="Times New Roman"/>
                <w:kern w:val="0"/>
                <w:sz w:val="20"/>
                <w:szCs w:val="20"/>
              </w:rPr>
            </w:pPr>
            <w:r>
              <w:rPr>
                <w:rFonts w:hint="eastAsia" w:ascii="Times New Roman" w:hAnsi="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38" w:type="pct"/>
            <w:vMerge w:val="restar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ind w:firstLine="200" w:firstLineChars="100"/>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过程</w:t>
            </w:r>
          </w:p>
          <w:p>
            <w:pPr>
              <w:widowControl/>
              <w:ind w:firstLine="200" w:firstLineChars="100"/>
              <w:textAlignment w:val="center"/>
              <w:rPr>
                <w:sz w:val="20"/>
                <w:szCs w:val="20"/>
              </w:rPr>
            </w:pPr>
            <w:r>
              <w:rPr>
                <w:rStyle w:val="12"/>
                <w:rFonts w:hint="default" w:ascii="Times New Roman" w:hAnsi="Times New Roman"/>
                <w:color w:val="auto"/>
                <w:sz w:val="20"/>
                <w:szCs w:val="20"/>
              </w:rPr>
              <w:t>（</w:t>
            </w:r>
            <w:r>
              <w:rPr>
                <w:rStyle w:val="15"/>
                <w:rFonts w:hint="eastAsia"/>
                <w:color w:val="auto"/>
                <w:sz w:val="20"/>
                <w:szCs w:val="20"/>
              </w:rPr>
              <w:t>41</w:t>
            </w:r>
            <w:r>
              <w:rPr>
                <w:rStyle w:val="12"/>
                <w:rFonts w:hint="default" w:ascii="Times New Roman" w:hAnsi="Times New Roman"/>
                <w:color w:val="auto"/>
                <w:sz w:val="20"/>
                <w:szCs w:val="20"/>
              </w:rPr>
              <w:t>分）</w:t>
            </w: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jc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过程</w:t>
            </w:r>
          </w:p>
          <w:p>
            <w:pPr>
              <w:jc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w:t>
            </w:r>
            <w:r>
              <w:rPr>
                <w:rStyle w:val="15"/>
                <w:rFonts w:hint="eastAsia"/>
                <w:color w:val="auto"/>
                <w:sz w:val="20"/>
                <w:szCs w:val="20"/>
              </w:rPr>
              <w:t>41</w:t>
            </w:r>
            <w:r>
              <w:rPr>
                <w:rStyle w:val="12"/>
                <w:rFonts w:hint="default" w:ascii="Times New Roman" w:hAnsi="Times New Roman"/>
                <w:color w:val="auto"/>
                <w:sz w:val="20"/>
                <w:szCs w:val="20"/>
              </w:rPr>
              <w:t>分）</w:t>
            </w: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pStyle w:val="11"/>
              <w:ind w:firstLine="200"/>
              <w:rPr>
                <w:rStyle w:val="12"/>
                <w:rFonts w:hint="default" w:ascii="Times New Roman" w:hAnsi="Times New Roman"/>
                <w:color w:val="auto"/>
                <w:sz w:val="20"/>
              </w:rPr>
            </w:pPr>
          </w:p>
          <w:p>
            <w:pPr>
              <w:jc w:val="center"/>
              <w:rPr>
                <w:rStyle w:val="12"/>
                <w:rFonts w:hint="default" w:ascii="Times New Roman" w:hAnsi="Times New Roman"/>
                <w:color w:val="auto"/>
                <w:sz w:val="20"/>
                <w:szCs w:val="20"/>
              </w:rPr>
            </w:pPr>
          </w:p>
          <w:p>
            <w:pPr>
              <w:jc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过程</w:t>
            </w:r>
          </w:p>
          <w:p>
            <w:pPr>
              <w:jc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w:t>
            </w:r>
            <w:r>
              <w:rPr>
                <w:rStyle w:val="15"/>
                <w:rFonts w:hint="eastAsia"/>
                <w:color w:val="auto"/>
                <w:sz w:val="20"/>
                <w:szCs w:val="20"/>
              </w:rPr>
              <w:t>41</w:t>
            </w:r>
            <w:r>
              <w:rPr>
                <w:rStyle w:val="12"/>
                <w:rFonts w:hint="default" w:ascii="Times New Roman" w:hAnsi="Times New Roman"/>
                <w:color w:val="auto"/>
                <w:sz w:val="20"/>
                <w:szCs w:val="20"/>
              </w:rPr>
              <w:t>分）</w:t>
            </w: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p>
            <w:pPr>
              <w:jc w:val="center"/>
              <w:rPr>
                <w:rStyle w:val="12"/>
                <w:rFonts w:hint="default" w:ascii="Times New Roman" w:hAnsi="Times New Roman"/>
                <w:color w:val="auto"/>
                <w:sz w:val="20"/>
                <w:szCs w:val="20"/>
              </w:rPr>
            </w:pPr>
          </w:p>
        </w:tc>
        <w:tc>
          <w:tcPr>
            <w:tcW w:w="372" w:type="pct"/>
            <w:vMerge w:val="restart"/>
            <w:tcBorders>
              <w:top w:val="nil"/>
            </w:tcBorders>
            <w:tcMar>
              <w:top w:w="15" w:type="dxa"/>
              <w:left w:w="15" w:type="dxa"/>
              <w:right w:w="15" w:type="dxa"/>
            </w:tcMar>
            <w:vAlign w:val="center"/>
          </w:tcPr>
          <w:p>
            <w:pPr>
              <w:widowControl/>
              <w:textAlignment w:val="center"/>
              <w:rPr>
                <w:rFonts w:ascii="Times New Roman" w:hAnsi="Times New Roman" w:cs="宋体"/>
                <w:sz w:val="20"/>
                <w:szCs w:val="20"/>
              </w:rPr>
            </w:pPr>
          </w:p>
          <w:p>
            <w:pPr>
              <w:jc w:val="center"/>
              <w:textAlignment w:val="center"/>
              <w:rPr>
                <w:sz w:val="20"/>
                <w:szCs w:val="20"/>
              </w:rPr>
            </w:pPr>
          </w:p>
          <w:p>
            <w:pPr>
              <w:jc w:val="center"/>
              <w:textAlignment w:val="center"/>
              <w:rPr>
                <w:sz w:val="20"/>
                <w:szCs w:val="20"/>
              </w:rPr>
            </w:pPr>
          </w:p>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预算</w:t>
            </w:r>
          </w:p>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执行</w:t>
            </w:r>
          </w:p>
          <w:p>
            <w:pPr>
              <w:widowControl/>
              <w:jc w:val="center"/>
              <w:textAlignment w:val="center"/>
              <w:rPr>
                <w:rFonts w:ascii="Times New Roman" w:hAnsi="Times New Roman" w:cs="宋体"/>
                <w:sz w:val="20"/>
                <w:szCs w:val="20"/>
              </w:rPr>
            </w:pPr>
            <w:r>
              <w:rPr>
                <w:rStyle w:val="12"/>
                <w:rFonts w:hint="default" w:ascii="Times New Roman" w:hAnsi="Times New Roman"/>
                <w:color w:val="auto"/>
                <w:sz w:val="20"/>
                <w:szCs w:val="20"/>
              </w:rPr>
              <w:t>（1</w:t>
            </w:r>
            <w:r>
              <w:rPr>
                <w:rStyle w:val="12"/>
                <w:rFonts w:ascii="Times New Roman" w:hAnsi="Times New Roman"/>
                <w:color w:val="auto"/>
                <w:sz w:val="20"/>
                <w:szCs w:val="20"/>
              </w:rPr>
              <w:t>2</w:t>
            </w:r>
            <w:r>
              <w:rPr>
                <w:rStyle w:val="12"/>
                <w:rFonts w:hint="default" w:ascii="Times New Roman" w:hAnsi="Times New Roman"/>
                <w:color w:val="auto"/>
                <w:sz w:val="20"/>
                <w:szCs w:val="20"/>
              </w:rPr>
              <w:t>分）</w:t>
            </w:r>
          </w:p>
        </w:tc>
        <w:tc>
          <w:tcPr>
            <w:tcW w:w="419" w:type="pct"/>
            <w:tcMar>
              <w:top w:w="15" w:type="dxa"/>
              <w:left w:w="15" w:type="dxa"/>
              <w:right w:w="15" w:type="dxa"/>
            </w:tcMar>
            <w:vAlign w:val="center"/>
          </w:tcPr>
          <w:p>
            <w:pPr>
              <w:widowControl/>
              <w:ind w:firstLine="200" w:firstLineChars="100"/>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预算</w:t>
            </w:r>
          </w:p>
          <w:p>
            <w:pPr>
              <w:widowControl/>
              <w:jc w:val="center"/>
              <w:textAlignment w:val="center"/>
              <w:rPr>
                <w:sz w:val="20"/>
                <w:szCs w:val="20"/>
              </w:rPr>
            </w:pPr>
            <w:r>
              <w:rPr>
                <w:rStyle w:val="12"/>
                <w:rFonts w:hint="default" w:ascii="Times New Roman" w:hAnsi="Times New Roman"/>
                <w:color w:val="auto"/>
                <w:sz w:val="20"/>
                <w:szCs w:val="20"/>
              </w:rPr>
              <w:t>执行率</w:t>
            </w:r>
          </w:p>
        </w:tc>
        <w:tc>
          <w:tcPr>
            <w:tcW w:w="385" w:type="pct"/>
            <w:tcMar>
              <w:top w:w="15" w:type="dxa"/>
              <w:left w:w="15" w:type="dxa"/>
              <w:right w:w="15" w:type="dxa"/>
            </w:tcMar>
            <w:vAlign w:val="center"/>
          </w:tcPr>
          <w:p>
            <w:pPr>
              <w:widowControl/>
              <w:jc w:val="center"/>
              <w:textAlignment w:val="center"/>
              <w:rPr>
                <w:sz w:val="20"/>
                <w:szCs w:val="20"/>
              </w:rPr>
            </w:pPr>
            <w:r>
              <w:rPr>
                <w:rFonts w:hint="eastAsia"/>
                <w:kern w:val="0"/>
                <w:sz w:val="20"/>
                <w:szCs w:val="20"/>
              </w:rPr>
              <w:t>3</w:t>
            </w:r>
          </w:p>
        </w:tc>
        <w:tc>
          <w:tcPr>
            <w:tcW w:w="1315" w:type="pct"/>
            <w:tcMar>
              <w:top w:w="15" w:type="dxa"/>
              <w:left w:w="15" w:type="dxa"/>
              <w:right w:w="15" w:type="dxa"/>
            </w:tcMar>
            <w:vAlign w:val="center"/>
          </w:tcPr>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预算执行率=（预算完成数/预算数）×100%。</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预算完成数：部门（单位）本年度实际完成的预算数。</w:t>
            </w:r>
          </w:p>
          <w:p>
            <w:pPr>
              <w:widowControl/>
              <w:jc w:val="left"/>
              <w:textAlignment w:val="center"/>
              <w:rPr>
                <w:sz w:val="20"/>
                <w:szCs w:val="20"/>
              </w:rPr>
            </w:pPr>
            <w:r>
              <w:rPr>
                <w:rStyle w:val="12"/>
                <w:rFonts w:hint="default" w:ascii="Times New Roman" w:hAnsi="Times New Roman"/>
                <w:color w:val="auto"/>
                <w:sz w:val="20"/>
                <w:szCs w:val="20"/>
              </w:rPr>
              <w:t>预算数：财政部门批复的本年度部门（单位）预算数及追加的项目预算数。</w:t>
            </w:r>
            <w:r>
              <w:rPr>
                <w:rStyle w:val="12"/>
                <w:rFonts w:hint="default"/>
                <w:color w:val="auto"/>
                <w:sz w:val="20"/>
                <w:szCs w:val="20"/>
              </w:rPr>
              <w:t>②</w:t>
            </w:r>
            <w:r>
              <w:rPr>
                <w:rStyle w:val="12"/>
                <w:rFonts w:hint="default" w:ascii="Times New Roman" w:hAnsi="Times New Roman"/>
                <w:color w:val="auto"/>
                <w:sz w:val="20"/>
                <w:szCs w:val="20"/>
              </w:rPr>
              <w:t>支付序时进度</w:t>
            </w:r>
            <w:r>
              <w:rPr>
                <w:rStyle w:val="15"/>
                <w:color w:val="auto"/>
                <w:sz w:val="20"/>
                <w:szCs w:val="20"/>
              </w:rPr>
              <w:t>=</w:t>
            </w:r>
            <w:r>
              <w:rPr>
                <w:rStyle w:val="12"/>
                <w:rFonts w:hint="default" w:ascii="Times New Roman" w:hAnsi="Times New Roman"/>
                <w:color w:val="auto"/>
                <w:sz w:val="20"/>
                <w:szCs w:val="20"/>
              </w:rPr>
              <w:t>（序时执行数</w:t>
            </w:r>
            <w:r>
              <w:rPr>
                <w:rStyle w:val="15"/>
                <w:color w:val="auto"/>
                <w:sz w:val="20"/>
                <w:szCs w:val="20"/>
              </w:rPr>
              <w:t>/</w:t>
            </w:r>
            <w:r>
              <w:rPr>
                <w:rStyle w:val="12"/>
                <w:rFonts w:hint="default" w:ascii="Times New Roman" w:hAnsi="Times New Roman"/>
                <w:color w:val="auto"/>
                <w:sz w:val="20"/>
                <w:szCs w:val="20"/>
              </w:rPr>
              <w:t>序时指标下达数）</w:t>
            </w:r>
            <w:r>
              <w:rPr>
                <w:rStyle w:val="15"/>
                <w:color w:val="auto"/>
                <w:sz w:val="20"/>
                <w:szCs w:val="20"/>
              </w:rPr>
              <w:t>×100%</w:t>
            </w:r>
            <w:r>
              <w:rPr>
                <w:rStyle w:val="12"/>
                <w:rFonts w:hint="default" w:ascii="Times New Roman" w:hAnsi="Times New Roman"/>
                <w:color w:val="auto"/>
                <w:sz w:val="20"/>
                <w:szCs w:val="20"/>
              </w:rPr>
              <w:t>。序时执行数：指按时间节点部门预算项目实际支出数。序时指标下达数：按时间节点给部门预算下达的项目支出和追加的项目支出指标数之和。</w:t>
            </w:r>
            <w:r>
              <w:rPr>
                <w:rStyle w:val="12"/>
                <w:rFonts w:hint="default"/>
                <w:color w:val="auto"/>
                <w:sz w:val="20"/>
                <w:szCs w:val="20"/>
              </w:rPr>
              <w:t>③</w:t>
            </w:r>
            <w:r>
              <w:rPr>
                <w:rStyle w:val="12"/>
                <w:rFonts w:hint="default" w:ascii="Times New Roman" w:hAnsi="Times New Roman"/>
                <w:color w:val="auto"/>
                <w:sz w:val="20"/>
                <w:szCs w:val="20"/>
              </w:rPr>
              <w:t>部门预算项目支出调剂到区县。</w:t>
            </w:r>
          </w:p>
        </w:tc>
        <w:tc>
          <w:tcPr>
            <w:tcW w:w="1681" w:type="pct"/>
            <w:tcMar>
              <w:top w:w="15" w:type="dxa"/>
              <w:left w:w="15" w:type="dxa"/>
              <w:right w:w="15" w:type="dxa"/>
            </w:tcMar>
            <w:vAlign w:val="center"/>
          </w:tcPr>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全年预算执行率95%以上计</w:t>
            </w:r>
            <w:r>
              <w:rPr>
                <w:rStyle w:val="15"/>
                <w:rFonts w:hint="eastAsia"/>
                <w:color w:val="auto"/>
                <w:sz w:val="20"/>
                <w:szCs w:val="20"/>
              </w:rPr>
              <w:t>1</w:t>
            </w:r>
            <w:r>
              <w:rPr>
                <w:rStyle w:val="12"/>
                <w:rFonts w:hint="default" w:ascii="Times New Roman" w:hAnsi="Times New Roman"/>
                <w:color w:val="auto"/>
                <w:sz w:val="20"/>
                <w:szCs w:val="20"/>
              </w:rPr>
              <w:t>分，</w:t>
            </w:r>
            <w:r>
              <w:rPr>
                <w:rStyle w:val="15"/>
                <w:color w:val="auto"/>
                <w:sz w:val="20"/>
                <w:szCs w:val="20"/>
              </w:rPr>
              <w:t>95-</w:t>
            </w:r>
            <w:r>
              <w:rPr>
                <w:rStyle w:val="15"/>
                <w:rFonts w:hint="eastAsia"/>
                <w:color w:val="auto"/>
                <w:sz w:val="20"/>
                <w:szCs w:val="20"/>
              </w:rPr>
              <w:t>8</w:t>
            </w:r>
            <w:r>
              <w:rPr>
                <w:rStyle w:val="15"/>
                <w:color w:val="auto"/>
                <w:sz w:val="20"/>
                <w:szCs w:val="20"/>
              </w:rPr>
              <w:t>0%</w:t>
            </w:r>
            <w:r>
              <w:rPr>
                <w:rStyle w:val="12"/>
                <w:rFonts w:hint="default" w:ascii="Times New Roman" w:hAnsi="Times New Roman"/>
                <w:color w:val="auto"/>
                <w:sz w:val="20"/>
                <w:szCs w:val="20"/>
              </w:rPr>
              <w:t>（含），每低1个百分点扣0.2分，扣完为止，小于</w:t>
            </w:r>
            <w:r>
              <w:rPr>
                <w:rStyle w:val="15"/>
                <w:color w:val="auto"/>
                <w:sz w:val="20"/>
                <w:szCs w:val="20"/>
              </w:rPr>
              <w:t>80%</w:t>
            </w:r>
            <w:r>
              <w:rPr>
                <w:rStyle w:val="12"/>
                <w:rFonts w:hint="default" w:ascii="Times New Roman" w:hAnsi="Times New Roman"/>
                <w:color w:val="auto"/>
                <w:sz w:val="20"/>
                <w:szCs w:val="20"/>
              </w:rPr>
              <w:t>不得分；</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一、二、三季度末支付序时进度分别达到</w:t>
            </w:r>
            <w:r>
              <w:rPr>
                <w:rStyle w:val="15"/>
                <w:color w:val="auto"/>
                <w:sz w:val="20"/>
                <w:szCs w:val="20"/>
              </w:rPr>
              <w:t>20%</w:t>
            </w:r>
            <w:r>
              <w:rPr>
                <w:rStyle w:val="12"/>
                <w:rFonts w:hint="default" w:ascii="Times New Roman" w:hAnsi="Times New Roman"/>
                <w:color w:val="auto"/>
                <w:sz w:val="20"/>
                <w:szCs w:val="20"/>
              </w:rPr>
              <w:t>、</w:t>
            </w:r>
            <w:r>
              <w:rPr>
                <w:rStyle w:val="15"/>
                <w:color w:val="auto"/>
                <w:sz w:val="20"/>
                <w:szCs w:val="20"/>
              </w:rPr>
              <w:t>50%</w:t>
            </w:r>
            <w:r>
              <w:rPr>
                <w:rStyle w:val="12"/>
                <w:rFonts w:hint="default" w:ascii="Times New Roman" w:hAnsi="Times New Roman"/>
                <w:color w:val="auto"/>
                <w:sz w:val="20"/>
                <w:szCs w:val="20"/>
              </w:rPr>
              <w:t>、</w:t>
            </w:r>
            <w:r>
              <w:rPr>
                <w:rStyle w:val="15"/>
                <w:color w:val="auto"/>
                <w:sz w:val="20"/>
                <w:szCs w:val="20"/>
              </w:rPr>
              <w:t>80%</w:t>
            </w:r>
            <w:r>
              <w:rPr>
                <w:rStyle w:val="12"/>
                <w:rFonts w:hint="default" w:ascii="Times New Roman" w:hAnsi="Times New Roman"/>
                <w:color w:val="auto"/>
                <w:sz w:val="20"/>
                <w:szCs w:val="20"/>
              </w:rPr>
              <w:t>（含）以上计</w:t>
            </w:r>
            <w:r>
              <w:rPr>
                <w:rStyle w:val="15"/>
                <w:rFonts w:hint="eastAsia"/>
                <w:color w:val="auto"/>
                <w:sz w:val="20"/>
                <w:szCs w:val="20"/>
              </w:rPr>
              <w:t>1</w:t>
            </w:r>
            <w:r>
              <w:rPr>
                <w:rStyle w:val="12"/>
                <w:rFonts w:hint="default" w:ascii="Times New Roman" w:hAnsi="Times New Roman"/>
                <w:color w:val="auto"/>
                <w:sz w:val="20"/>
                <w:szCs w:val="20"/>
              </w:rPr>
              <w:t>分，每低</w:t>
            </w:r>
            <w:r>
              <w:rPr>
                <w:rStyle w:val="15"/>
                <w:color w:val="auto"/>
                <w:sz w:val="20"/>
                <w:szCs w:val="20"/>
              </w:rPr>
              <w:t>1</w:t>
            </w:r>
            <w:r>
              <w:rPr>
                <w:rStyle w:val="12"/>
                <w:rFonts w:hint="default" w:ascii="Times New Roman" w:hAnsi="Times New Roman"/>
                <w:color w:val="auto"/>
                <w:sz w:val="20"/>
                <w:szCs w:val="20"/>
              </w:rPr>
              <w:t>个百分点扣</w:t>
            </w:r>
            <w:r>
              <w:rPr>
                <w:rStyle w:val="15"/>
                <w:color w:val="auto"/>
                <w:sz w:val="20"/>
                <w:szCs w:val="20"/>
              </w:rPr>
              <w:t>0.2</w:t>
            </w:r>
            <w:r>
              <w:rPr>
                <w:rStyle w:val="12"/>
                <w:rFonts w:hint="default" w:ascii="Times New Roman" w:hAnsi="Times New Roman"/>
                <w:color w:val="auto"/>
                <w:sz w:val="20"/>
                <w:szCs w:val="20"/>
              </w:rPr>
              <w:t>分，扣完为止。</w:t>
            </w:r>
          </w:p>
          <w:p>
            <w:pPr>
              <w:widowControl/>
              <w:textAlignment w:val="center"/>
              <w:rPr>
                <w:sz w:val="20"/>
                <w:szCs w:val="20"/>
              </w:rPr>
            </w:pPr>
            <w:r>
              <w:rPr>
                <w:rStyle w:val="12"/>
                <w:rFonts w:hint="default"/>
                <w:color w:val="auto"/>
                <w:sz w:val="20"/>
                <w:szCs w:val="20"/>
              </w:rPr>
              <w:t>③</w:t>
            </w:r>
            <w:r>
              <w:rPr>
                <w:rStyle w:val="12"/>
                <w:rFonts w:hint="default" w:ascii="Times New Roman" w:hAnsi="Times New Roman"/>
                <w:color w:val="auto"/>
                <w:sz w:val="20"/>
                <w:szCs w:val="20"/>
              </w:rPr>
              <w:t>部门预算项目支出调剂到区县小于等于项目支出2%，计</w:t>
            </w:r>
            <w:r>
              <w:rPr>
                <w:rStyle w:val="12"/>
                <w:rFonts w:ascii="Times New Roman" w:hAnsi="Times New Roman"/>
                <w:color w:val="auto"/>
                <w:sz w:val="20"/>
                <w:szCs w:val="20"/>
              </w:rPr>
              <w:t>1</w:t>
            </w:r>
            <w:r>
              <w:rPr>
                <w:rStyle w:val="12"/>
                <w:rFonts w:hint="default" w:ascii="Times New Roman" w:hAnsi="Times New Roman"/>
                <w:color w:val="auto"/>
                <w:sz w:val="20"/>
                <w:szCs w:val="20"/>
              </w:rPr>
              <w:t>分；大于2%，不计分；</w:t>
            </w: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5" w:hRule="atLeast"/>
        </w:trPr>
        <w:tc>
          <w:tcPr>
            <w:tcW w:w="438" w:type="pct"/>
            <w:vMerge w:val="continue"/>
            <w:tcMar>
              <w:top w:w="15" w:type="dxa"/>
              <w:left w:w="15" w:type="dxa"/>
              <w:right w:w="15" w:type="dxa"/>
            </w:tcMar>
            <w:vAlign w:val="center"/>
          </w:tcPr>
          <w:p>
            <w:pPr>
              <w:jc w:val="center"/>
              <w:rPr>
                <w:sz w:val="20"/>
                <w:szCs w:val="20"/>
              </w:rPr>
            </w:pPr>
          </w:p>
        </w:tc>
        <w:tc>
          <w:tcPr>
            <w:tcW w:w="372" w:type="pct"/>
            <w:vMerge w:val="continue"/>
            <w:tcBorders>
              <w:top w:val="nil"/>
            </w:tcBorders>
            <w:tcMar>
              <w:top w:w="15" w:type="dxa"/>
              <w:left w:w="15" w:type="dxa"/>
              <w:right w:w="15" w:type="dxa"/>
            </w:tcMar>
            <w:vAlign w:val="center"/>
          </w:tcPr>
          <w:p>
            <w:pPr>
              <w:widowControl/>
              <w:jc w:val="center"/>
              <w:textAlignment w:val="center"/>
              <w:rPr>
                <w:sz w:val="20"/>
                <w:szCs w:val="20"/>
              </w:rPr>
            </w:pP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预算</w:t>
            </w:r>
          </w:p>
          <w:p>
            <w:pPr>
              <w:widowControl/>
              <w:jc w:val="center"/>
              <w:textAlignment w:val="center"/>
              <w:rPr>
                <w:sz w:val="20"/>
                <w:szCs w:val="20"/>
              </w:rPr>
            </w:pPr>
            <w:r>
              <w:rPr>
                <w:rStyle w:val="12"/>
                <w:rFonts w:hint="default" w:ascii="Times New Roman" w:hAnsi="Times New Roman"/>
                <w:color w:val="auto"/>
                <w:sz w:val="20"/>
                <w:szCs w:val="20"/>
              </w:rPr>
              <w:t>调整率</w:t>
            </w:r>
          </w:p>
        </w:tc>
        <w:tc>
          <w:tcPr>
            <w:tcW w:w="385" w:type="pct"/>
            <w:tcMar>
              <w:top w:w="15" w:type="dxa"/>
              <w:left w:w="15" w:type="dxa"/>
              <w:right w:w="15" w:type="dxa"/>
            </w:tcMar>
            <w:vAlign w:val="center"/>
          </w:tcPr>
          <w:p>
            <w:pPr>
              <w:widowControl/>
              <w:jc w:val="center"/>
              <w:textAlignment w:val="center"/>
              <w:rPr>
                <w:sz w:val="20"/>
                <w:szCs w:val="20"/>
              </w:rPr>
            </w:pPr>
            <w:r>
              <w:rPr>
                <w:kern w:val="0"/>
                <w:sz w:val="20"/>
                <w:szCs w:val="20"/>
              </w:rPr>
              <w:t>3</w:t>
            </w:r>
          </w:p>
        </w:tc>
        <w:tc>
          <w:tcPr>
            <w:tcW w:w="1315" w:type="pct"/>
            <w:tcMar>
              <w:top w:w="15" w:type="dxa"/>
              <w:left w:w="15" w:type="dxa"/>
              <w:right w:w="15" w:type="dxa"/>
            </w:tcMar>
            <w:vAlign w:val="center"/>
          </w:tcPr>
          <w:p>
            <w:pPr>
              <w:widowControl/>
              <w:jc w:val="left"/>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预算调整率</w:t>
            </w:r>
            <w:r>
              <w:rPr>
                <w:rStyle w:val="15"/>
                <w:color w:val="auto"/>
                <w:sz w:val="20"/>
                <w:szCs w:val="20"/>
              </w:rPr>
              <w:t>=</w:t>
            </w:r>
            <w:r>
              <w:rPr>
                <w:rStyle w:val="12"/>
                <w:rFonts w:hint="default" w:ascii="Times New Roman" w:hAnsi="Times New Roman"/>
                <w:color w:val="auto"/>
                <w:sz w:val="20"/>
                <w:szCs w:val="20"/>
              </w:rPr>
              <w:t>（预算调整数</w:t>
            </w:r>
            <w:r>
              <w:rPr>
                <w:rStyle w:val="15"/>
                <w:color w:val="auto"/>
                <w:sz w:val="20"/>
                <w:szCs w:val="20"/>
              </w:rPr>
              <w:t>/</w:t>
            </w:r>
            <w:r>
              <w:rPr>
                <w:rStyle w:val="12"/>
                <w:rFonts w:hint="default" w:ascii="Times New Roman" w:hAnsi="Times New Roman"/>
                <w:color w:val="auto"/>
                <w:sz w:val="20"/>
                <w:szCs w:val="20"/>
              </w:rPr>
              <w:t>预算数）</w:t>
            </w:r>
            <w:r>
              <w:rPr>
                <w:rStyle w:val="15"/>
                <w:color w:val="auto"/>
                <w:sz w:val="20"/>
                <w:szCs w:val="20"/>
              </w:rPr>
              <w:t>×100%</w:t>
            </w:r>
            <w:r>
              <w:rPr>
                <w:rStyle w:val="12"/>
                <w:rFonts w:hint="default" w:ascii="Times New Roman" w:hAnsi="Times New Roman"/>
                <w:color w:val="auto"/>
                <w:sz w:val="20"/>
                <w:szCs w:val="20"/>
              </w:rPr>
              <w:t>。</w:t>
            </w:r>
          </w:p>
          <w:p>
            <w:pPr>
              <w:widowControl/>
              <w:jc w:val="left"/>
              <w:textAlignment w:val="center"/>
              <w:rPr>
                <w:sz w:val="20"/>
                <w:szCs w:val="20"/>
              </w:rPr>
            </w:pPr>
            <w:r>
              <w:rPr>
                <w:rStyle w:val="12"/>
                <w:rFonts w:hint="default" w:ascii="Times New Roman" w:hAnsi="Times New Roman"/>
                <w:color w:val="auto"/>
                <w:sz w:val="20"/>
                <w:szCs w:val="20"/>
              </w:rPr>
              <w:t>预算调整数：部门（单位）在本年度内涉及预算的追加、追减或结构调整的资金总和（因落实国家政策、发生不可抗力，县委、县政府临时交办而产生的调整及经济科目非跨类调整除外）。</w:t>
            </w:r>
          </w:p>
        </w:tc>
        <w:tc>
          <w:tcPr>
            <w:tcW w:w="1681" w:type="pct"/>
            <w:tcMar>
              <w:top w:w="15" w:type="dxa"/>
              <w:left w:w="15" w:type="dxa"/>
              <w:right w:w="15" w:type="dxa"/>
            </w:tcMar>
            <w:vAlign w:val="center"/>
          </w:tcPr>
          <w:p>
            <w:pPr>
              <w:widowControl/>
              <w:textAlignment w:val="center"/>
              <w:rPr>
                <w:sz w:val="20"/>
                <w:szCs w:val="20"/>
              </w:rPr>
            </w:pPr>
            <w:r>
              <w:rPr>
                <w:rStyle w:val="12"/>
                <w:rFonts w:hint="default" w:ascii="Times New Roman" w:hAnsi="Times New Roman"/>
                <w:color w:val="auto"/>
                <w:sz w:val="20"/>
                <w:szCs w:val="20"/>
              </w:rPr>
              <w:t>预算调整率</w:t>
            </w:r>
            <w:r>
              <w:rPr>
                <w:rStyle w:val="15"/>
                <w:color w:val="auto"/>
                <w:sz w:val="20"/>
                <w:szCs w:val="20"/>
              </w:rPr>
              <w:t>&lt;5%</w:t>
            </w:r>
            <w:r>
              <w:rPr>
                <w:rStyle w:val="12"/>
                <w:rFonts w:hint="default" w:ascii="Times New Roman" w:hAnsi="Times New Roman"/>
                <w:color w:val="auto"/>
                <w:sz w:val="20"/>
                <w:szCs w:val="20"/>
              </w:rPr>
              <w:t>，计</w:t>
            </w:r>
            <w:r>
              <w:rPr>
                <w:rStyle w:val="15"/>
                <w:color w:val="auto"/>
                <w:sz w:val="20"/>
                <w:szCs w:val="20"/>
              </w:rPr>
              <w:t>3</w:t>
            </w:r>
            <w:r>
              <w:rPr>
                <w:rStyle w:val="12"/>
                <w:rFonts w:hint="default" w:ascii="Times New Roman" w:hAnsi="Times New Roman"/>
                <w:color w:val="auto"/>
                <w:sz w:val="20"/>
                <w:szCs w:val="20"/>
              </w:rPr>
              <w:t>分；</w:t>
            </w:r>
            <w:r>
              <w:rPr>
                <w:rStyle w:val="15"/>
                <w:color w:val="auto"/>
                <w:sz w:val="20"/>
                <w:szCs w:val="20"/>
              </w:rPr>
              <w:t>5-10%</w:t>
            </w:r>
            <w:r>
              <w:rPr>
                <w:rStyle w:val="12"/>
                <w:rFonts w:hint="default" w:ascii="Times New Roman" w:hAnsi="Times New Roman"/>
                <w:color w:val="auto"/>
                <w:sz w:val="20"/>
                <w:szCs w:val="20"/>
              </w:rPr>
              <w:t>（含），计</w:t>
            </w:r>
            <w:r>
              <w:rPr>
                <w:rStyle w:val="15"/>
                <w:color w:val="auto"/>
                <w:sz w:val="20"/>
                <w:szCs w:val="20"/>
              </w:rPr>
              <w:t>1.5</w:t>
            </w:r>
            <w:r>
              <w:rPr>
                <w:rStyle w:val="12"/>
                <w:rFonts w:hint="default" w:ascii="Times New Roman" w:hAnsi="Times New Roman"/>
                <w:color w:val="auto"/>
                <w:sz w:val="20"/>
                <w:szCs w:val="20"/>
              </w:rPr>
              <w:t>分；大于</w:t>
            </w:r>
            <w:r>
              <w:rPr>
                <w:rStyle w:val="15"/>
                <w:color w:val="auto"/>
                <w:sz w:val="20"/>
                <w:szCs w:val="20"/>
              </w:rPr>
              <w:t>10%</w:t>
            </w:r>
            <w:r>
              <w:rPr>
                <w:rStyle w:val="12"/>
                <w:rFonts w:hint="default" w:ascii="Times New Roman" w:hAnsi="Times New Roman"/>
                <w:color w:val="auto"/>
                <w:sz w:val="20"/>
                <w:szCs w:val="20"/>
              </w:rPr>
              <w:t>不得分。</w:t>
            </w: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438" w:type="pct"/>
            <w:vMerge w:val="continue"/>
            <w:tcMar>
              <w:top w:w="15" w:type="dxa"/>
              <w:left w:w="15" w:type="dxa"/>
              <w:right w:w="15" w:type="dxa"/>
            </w:tcMar>
            <w:vAlign w:val="center"/>
          </w:tcPr>
          <w:p>
            <w:pPr>
              <w:jc w:val="center"/>
              <w:rPr>
                <w:sz w:val="20"/>
                <w:szCs w:val="20"/>
              </w:rPr>
            </w:pPr>
          </w:p>
        </w:tc>
        <w:tc>
          <w:tcPr>
            <w:tcW w:w="372" w:type="pct"/>
            <w:vMerge w:val="continue"/>
            <w:tcBorders>
              <w:top w:val="nil"/>
            </w:tcBorders>
            <w:tcMar>
              <w:top w:w="15" w:type="dxa"/>
              <w:left w:w="15" w:type="dxa"/>
              <w:right w:w="15" w:type="dxa"/>
            </w:tcMar>
            <w:vAlign w:val="center"/>
          </w:tcPr>
          <w:p>
            <w:pPr>
              <w:jc w:val="center"/>
              <w:rPr>
                <w:sz w:val="20"/>
                <w:szCs w:val="20"/>
              </w:rPr>
            </w:pPr>
          </w:p>
        </w:tc>
        <w:tc>
          <w:tcPr>
            <w:tcW w:w="419" w:type="pct"/>
            <w:tcMar>
              <w:top w:w="15" w:type="dxa"/>
              <w:left w:w="15" w:type="dxa"/>
              <w:right w:w="15" w:type="dxa"/>
            </w:tcMar>
            <w:vAlign w:val="center"/>
          </w:tcPr>
          <w:p>
            <w:pPr>
              <w:widowControl/>
              <w:jc w:val="center"/>
              <w:textAlignment w:val="center"/>
              <w:rPr>
                <w:sz w:val="20"/>
                <w:szCs w:val="20"/>
              </w:rPr>
            </w:pPr>
            <w:r>
              <w:rPr>
                <w:kern w:val="0"/>
                <w:sz w:val="20"/>
                <w:szCs w:val="20"/>
              </w:rPr>
              <w:t>结转结余</w:t>
            </w:r>
          </w:p>
        </w:tc>
        <w:tc>
          <w:tcPr>
            <w:tcW w:w="385" w:type="pct"/>
            <w:tcMar>
              <w:top w:w="15" w:type="dxa"/>
              <w:left w:w="15" w:type="dxa"/>
              <w:right w:w="15" w:type="dxa"/>
            </w:tcMar>
            <w:vAlign w:val="center"/>
          </w:tcPr>
          <w:p>
            <w:pPr>
              <w:widowControl/>
              <w:jc w:val="center"/>
              <w:textAlignment w:val="center"/>
              <w:rPr>
                <w:sz w:val="20"/>
                <w:szCs w:val="20"/>
              </w:rPr>
            </w:pPr>
            <w:r>
              <w:rPr>
                <w:kern w:val="0"/>
                <w:sz w:val="20"/>
                <w:szCs w:val="20"/>
              </w:rPr>
              <w:t>2</w:t>
            </w:r>
          </w:p>
        </w:tc>
        <w:tc>
          <w:tcPr>
            <w:tcW w:w="1315" w:type="pct"/>
            <w:tcMar>
              <w:top w:w="15" w:type="dxa"/>
              <w:left w:w="15" w:type="dxa"/>
              <w:right w:w="15" w:type="dxa"/>
            </w:tcMar>
            <w:vAlign w:val="center"/>
          </w:tcPr>
          <w:p>
            <w:pPr>
              <w:widowControl/>
              <w:jc w:val="left"/>
              <w:textAlignment w:val="center"/>
              <w:rPr>
                <w:sz w:val="20"/>
                <w:szCs w:val="20"/>
              </w:rPr>
            </w:pPr>
            <w:r>
              <w:rPr>
                <w:kern w:val="0"/>
                <w:sz w:val="20"/>
                <w:szCs w:val="20"/>
              </w:rPr>
              <w:t>根据</w:t>
            </w:r>
            <w:r>
              <w:rPr>
                <w:rStyle w:val="12"/>
                <w:rFonts w:hint="default" w:ascii="Times New Roman" w:hAnsi="Times New Roman"/>
                <w:color w:val="auto"/>
                <w:sz w:val="20"/>
                <w:szCs w:val="20"/>
              </w:rPr>
              <w:t>县</w:t>
            </w:r>
            <w:r>
              <w:rPr>
                <w:kern w:val="0"/>
                <w:sz w:val="20"/>
                <w:szCs w:val="20"/>
              </w:rPr>
              <w:t>政府文件规定，预算单位年度安排的</w:t>
            </w:r>
            <w:r>
              <w:rPr>
                <w:rStyle w:val="12"/>
                <w:rFonts w:hint="default" w:ascii="Times New Roman" w:hAnsi="Times New Roman"/>
                <w:color w:val="auto"/>
                <w:sz w:val="20"/>
                <w:szCs w:val="20"/>
              </w:rPr>
              <w:t>县</w:t>
            </w:r>
            <w:r>
              <w:rPr>
                <w:kern w:val="0"/>
                <w:sz w:val="20"/>
                <w:szCs w:val="20"/>
              </w:rPr>
              <w:t>级预算资金不能结转。</w:t>
            </w:r>
          </w:p>
        </w:tc>
        <w:tc>
          <w:tcPr>
            <w:tcW w:w="1681" w:type="pct"/>
            <w:tcMar>
              <w:top w:w="15" w:type="dxa"/>
              <w:left w:w="15" w:type="dxa"/>
              <w:right w:w="15" w:type="dxa"/>
            </w:tcMar>
            <w:vAlign w:val="center"/>
          </w:tcPr>
          <w:p>
            <w:pPr>
              <w:widowControl/>
              <w:textAlignment w:val="center"/>
              <w:rPr>
                <w:sz w:val="20"/>
                <w:szCs w:val="20"/>
              </w:rPr>
            </w:pPr>
            <w:r>
              <w:rPr>
                <w:rStyle w:val="12"/>
                <w:rFonts w:hint="default" w:ascii="Times New Roman" w:hAnsi="Times New Roman"/>
                <w:color w:val="auto"/>
                <w:sz w:val="20"/>
                <w:szCs w:val="20"/>
              </w:rPr>
              <w:t>县</w:t>
            </w:r>
            <w:r>
              <w:rPr>
                <w:kern w:val="0"/>
                <w:sz w:val="20"/>
                <w:szCs w:val="20"/>
              </w:rPr>
              <w:t>本级资金无结转，计2分；有结转，不计分；</w:t>
            </w:r>
          </w:p>
        </w:tc>
        <w:tc>
          <w:tcPr>
            <w:tcW w:w="390" w:type="pct"/>
            <w:tcMar>
              <w:top w:w="15" w:type="dxa"/>
              <w:left w:w="15" w:type="dxa"/>
              <w:right w:w="15" w:type="dxa"/>
            </w:tcMar>
            <w:vAlign w:val="center"/>
          </w:tcPr>
          <w:p>
            <w:pPr>
              <w:widowControl/>
              <w:textAlignment w:val="center"/>
              <w:rPr>
                <w:kern w:val="0"/>
                <w:sz w:val="20"/>
                <w:szCs w:val="20"/>
              </w:rPr>
            </w:pPr>
            <w:r>
              <w:rPr>
                <w:rFonts w:hint="eastAsia"/>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2" w:hRule="atLeast"/>
        </w:trPr>
        <w:tc>
          <w:tcPr>
            <w:tcW w:w="438" w:type="pct"/>
            <w:vMerge w:val="continue"/>
            <w:tcMar>
              <w:top w:w="15" w:type="dxa"/>
              <w:left w:w="15" w:type="dxa"/>
              <w:right w:w="15" w:type="dxa"/>
            </w:tcMar>
            <w:vAlign w:val="center"/>
          </w:tcPr>
          <w:p>
            <w:pPr>
              <w:widowControl/>
              <w:jc w:val="center"/>
              <w:textAlignment w:val="center"/>
              <w:rPr>
                <w:sz w:val="20"/>
                <w:szCs w:val="20"/>
              </w:rPr>
            </w:pPr>
          </w:p>
        </w:tc>
        <w:tc>
          <w:tcPr>
            <w:tcW w:w="372" w:type="pct"/>
            <w:vMerge w:val="continue"/>
            <w:tcBorders>
              <w:top w:val="nil"/>
            </w:tcBorders>
            <w:tcMar>
              <w:top w:w="15" w:type="dxa"/>
              <w:left w:w="15" w:type="dxa"/>
              <w:right w:w="15" w:type="dxa"/>
            </w:tcMar>
            <w:vAlign w:val="center"/>
          </w:tcPr>
          <w:p>
            <w:pPr>
              <w:widowControl/>
              <w:jc w:val="center"/>
              <w:textAlignment w:val="center"/>
              <w:rPr>
                <w:sz w:val="20"/>
                <w:szCs w:val="20"/>
              </w:rPr>
            </w:pP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r>
              <w:rPr>
                <w:rStyle w:val="15"/>
                <w:color w:val="auto"/>
                <w:sz w:val="20"/>
                <w:szCs w:val="20"/>
              </w:rPr>
              <w:t>“</w:t>
            </w:r>
            <w:r>
              <w:rPr>
                <w:rStyle w:val="12"/>
                <w:rFonts w:hint="default" w:ascii="Times New Roman" w:hAnsi="Times New Roman"/>
                <w:color w:val="auto"/>
                <w:sz w:val="20"/>
                <w:szCs w:val="20"/>
              </w:rPr>
              <w:t>三公</w:t>
            </w:r>
          </w:p>
          <w:p>
            <w:pPr>
              <w:widowControl/>
              <w:jc w:val="center"/>
              <w:textAlignment w:val="center"/>
              <w:rPr>
                <w:rStyle w:val="15"/>
                <w:color w:val="auto"/>
                <w:sz w:val="20"/>
                <w:szCs w:val="20"/>
              </w:rPr>
            </w:pPr>
            <w:r>
              <w:rPr>
                <w:rStyle w:val="12"/>
                <w:rFonts w:hint="default" w:ascii="Times New Roman" w:hAnsi="Times New Roman"/>
                <w:color w:val="auto"/>
                <w:sz w:val="20"/>
                <w:szCs w:val="20"/>
              </w:rPr>
              <w:t>经费</w:t>
            </w:r>
            <w:r>
              <w:rPr>
                <w:rStyle w:val="15"/>
                <w:color w:val="auto"/>
                <w:sz w:val="20"/>
                <w:szCs w:val="20"/>
              </w:rPr>
              <w:t>”</w:t>
            </w:r>
          </w:p>
          <w:p>
            <w:pPr>
              <w:widowControl/>
              <w:jc w:val="center"/>
              <w:textAlignment w:val="center"/>
              <w:rPr>
                <w:sz w:val="20"/>
                <w:szCs w:val="20"/>
              </w:rPr>
            </w:pPr>
            <w:r>
              <w:rPr>
                <w:rStyle w:val="12"/>
                <w:rFonts w:hint="default" w:ascii="Times New Roman" w:hAnsi="Times New Roman"/>
                <w:color w:val="auto"/>
                <w:sz w:val="20"/>
                <w:szCs w:val="20"/>
              </w:rPr>
              <w:t>控制率</w:t>
            </w:r>
          </w:p>
        </w:tc>
        <w:tc>
          <w:tcPr>
            <w:tcW w:w="385" w:type="pct"/>
            <w:tcMar>
              <w:top w:w="15" w:type="dxa"/>
              <w:left w:w="15" w:type="dxa"/>
              <w:right w:w="15" w:type="dxa"/>
            </w:tcMar>
            <w:vAlign w:val="center"/>
          </w:tcPr>
          <w:p>
            <w:pPr>
              <w:widowControl/>
              <w:jc w:val="center"/>
              <w:textAlignment w:val="center"/>
              <w:rPr>
                <w:sz w:val="20"/>
                <w:szCs w:val="20"/>
              </w:rPr>
            </w:pPr>
            <w:r>
              <w:rPr>
                <w:rFonts w:hint="eastAsia"/>
                <w:kern w:val="0"/>
                <w:sz w:val="20"/>
                <w:szCs w:val="20"/>
              </w:rPr>
              <w:t>2</w:t>
            </w:r>
          </w:p>
        </w:tc>
        <w:tc>
          <w:tcPr>
            <w:tcW w:w="1315" w:type="pct"/>
            <w:tcMar>
              <w:top w:w="15" w:type="dxa"/>
              <w:left w:w="15" w:type="dxa"/>
              <w:right w:w="15" w:type="dxa"/>
            </w:tcMar>
            <w:vAlign w:val="center"/>
          </w:tcPr>
          <w:p>
            <w:pPr>
              <w:widowControl/>
              <w:jc w:val="left"/>
              <w:textAlignment w:val="center"/>
              <w:rPr>
                <w:sz w:val="20"/>
                <w:szCs w:val="20"/>
              </w:rPr>
            </w:pPr>
            <w:r>
              <w:rPr>
                <w:rStyle w:val="15"/>
                <w:color w:val="auto"/>
                <w:sz w:val="20"/>
                <w:szCs w:val="20"/>
              </w:rPr>
              <w:t>“</w:t>
            </w:r>
            <w:r>
              <w:rPr>
                <w:rStyle w:val="12"/>
                <w:rFonts w:hint="default" w:ascii="Times New Roman" w:hAnsi="Times New Roman"/>
                <w:color w:val="auto"/>
                <w:sz w:val="20"/>
                <w:szCs w:val="20"/>
              </w:rPr>
              <w:t>三公经费</w:t>
            </w:r>
            <w:r>
              <w:rPr>
                <w:rStyle w:val="15"/>
                <w:color w:val="auto"/>
                <w:sz w:val="20"/>
                <w:szCs w:val="20"/>
              </w:rPr>
              <w:t>”</w:t>
            </w:r>
            <w:r>
              <w:rPr>
                <w:rStyle w:val="12"/>
                <w:rFonts w:hint="default" w:ascii="Times New Roman" w:hAnsi="Times New Roman"/>
                <w:color w:val="auto"/>
                <w:sz w:val="20"/>
                <w:szCs w:val="20"/>
              </w:rPr>
              <w:t>控制率</w:t>
            </w:r>
            <w:r>
              <w:rPr>
                <w:rStyle w:val="15"/>
                <w:color w:val="auto"/>
                <w:sz w:val="20"/>
                <w:szCs w:val="20"/>
              </w:rPr>
              <w:t>=</w:t>
            </w:r>
            <w:r>
              <w:rPr>
                <w:rStyle w:val="12"/>
                <w:rFonts w:hint="default" w:ascii="Times New Roman" w:hAnsi="Times New Roman"/>
                <w:color w:val="auto"/>
                <w:sz w:val="20"/>
                <w:szCs w:val="20"/>
              </w:rPr>
              <w:t>（</w:t>
            </w:r>
            <w:r>
              <w:rPr>
                <w:rStyle w:val="15"/>
                <w:color w:val="auto"/>
                <w:sz w:val="20"/>
                <w:szCs w:val="20"/>
              </w:rPr>
              <w:t>“</w:t>
            </w:r>
            <w:r>
              <w:rPr>
                <w:rStyle w:val="12"/>
                <w:rFonts w:hint="default" w:ascii="Times New Roman" w:hAnsi="Times New Roman"/>
                <w:color w:val="auto"/>
                <w:sz w:val="20"/>
                <w:szCs w:val="20"/>
              </w:rPr>
              <w:t>三公经费</w:t>
            </w:r>
            <w:r>
              <w:rPr>
                <w:rStyle w:val="15"/>
                <w:color w:val="auto"/>
                <w:sz w:val="20"/>
                <w:szCs w:val="20"/>
              </w:rPr>
              <w:t>”</w:t>
            </w:r>
            <w:r>
              <w:rPr>
                <w:rStyle w:val="12"/>
                <w:rFonts w:hint="default" w:ascii="Times New Roman" w:hAnsi="Times New Roman"/>
                <w:color w:val="auto"/>
                <w:sz w:val="20"/>
                <w:szCs w:val="20"/>
              </w:rPr>
              <w:t>实际支出数</w:t>
            </w:r>
            <w:r>
              <w:rPr>
                <w:rStyle w:val="15"/>
                <w:color w:val="auto"/>
                <w:sz w:val="20"/>
                <w:szCs w:val="20"/>
              </w:rPr>
              <w:t>/“</w:t>
            </w:r>
            <w:r>
              <w:rPr>
                <w:rStyle w:val="12"/>
                <w:rFonts w:hint="default" w:ascii="Times New Roman" w:hAnsi="Times New Roman"/>
                <w:color w:val="auto"/>
                <w:sz w:val="20"/>
                <w:szCs w:val="20"/>
              </w:rPr>
              <w:t>三公经费</w:t>
            </w:r>
            <w:r>
              <w:rPr>
                <w:rStyle w:val="15"/>
                <w:color w:val="auto"/>
                <w:sz w:val="20"/>
                <w:szCs w:val="20"/>
              </w:rPr>
              <w:t>”</w:t>
            </w:r>
            <w:r>
              <w:rPr>
                <w:rStyle w:val="12"/>
                <w:rFonts w:hint="default" w:ascii="Times New Roman" w:hAnsi="Times New Roman"/>
                <w:color w:val="auto"/>
                <w:sz w:val="20"/>
                <w:szCs w:val="20"/>
              </w:rPr>
              <w:t>预算安排数）</w:t>
            </w:r>
            <w:r>
              <w:rPr>
                <w:rStyle w:val="15"/>
                <w:color w:val="auto"/>
                <w:sz w:val="20"/>
                <w:szCs w:val="20"/>
              </w:rPr>
              <w:t>×100%</w:t>
            </w:r>
            <w:r>
              <w:rPr>
                <w:rStyle w:val="12"/>
                <w:rFonts w:hint="default" w:ascii="Times New Roman" w:hAnsi="Times New Roman"/>
                <w:color w:val="auto"/>
                <w:sz w:val="20"/>
                <w:szCs w:val="20"/>
              </w:rPr>
              <w:t>。不超当年预算，不超上年决算。</w:t>
            </w:r>
          </w:p>
        </w:tc>
        <w:tc>
          <w:tcPr>
            <w:tcW w:w="1681" w:type="pct"/>
            <w:tcMar>
              <w:top w:w="15" w:type="dxa"/>
              <w:left w:w="15" w:type="dxa"/>
              <w:right w:w="15" w:type="dxa"/>
            </w:tcMar>
            <w:vAlign w:val="center"/>
          </w:tcPr>
          <w:p>
            <w:pPr>
              <w:widowControl/>
              <w:textAlignment w:val="center"/>
              <w:rPr>
                <w:sz w:val="20"/>
                <w:szCs w:val="20"/>
              </w:rPr>
            </w:pPr>
            <w:r>
              <w:rPr>
                <w:rStyle w:val="15"/>
                <w:color w:val="auto"/>
                <w:sz w:val="20"/>
                <w:szCs w:val="20"/>
              </w:rPr>
              <w:t>“</w:t>
            </w:r>
            <w:r>
              <w:rPr>
                <w:rStyle w:val="12"/>
                <w:rFonts w:hint="default" w:ascii="Times New Roman" w:hAnsi="Times New Roman"/>
                <w:color w:val="auto"/>
                <w:sz w:val="20"/>
                <w:szCs w:val="20"/>
              </w:rPr>
              <w:t>三公经费</w:t>
            </w:r>
            <w:r>
              <w:rPr>
                <w:rStyle w:val="15"/>
                <w:color w:val="auto"/>
                <w:sz w:val="20"/>
                <w:szCs w:val="20"/>
              </w:rPr>
              <w:t>”</w:t>
            </w:r>
            <w:r>
              <w:rPr>
                <w:rStyle w:val="12"/>
                <w:rFonts w:hint="default" w:ascii="Times New Roman" w:hAnsi="Times New Roman"/>
                <w:color w:val="auto"/>
                <w:sz w:val="20"/>
                <w:szCs w:val="20"/>
              </w:rPr>
              <w:t>控制率</w:t>
            </w:r>
            <w:r>
              <w:rPr>
                <w:rStyle w:val="15"/>
                <w:color w:val="auto"/>
                <w:sz w:val="20"/>
                <w:szCs w:val="20"/>
              </w:rPr>
              <w:t>100%</w:t>
            </w:r>
            <w:r>
              <w:rPr>
                <w:rStyle w:val="12"/>
                <w:rFonts w:hint="default" w:ascii="Times New Roman" w:hAnsi="Times New Roman"/>
                <w:color w:val="auto"/>
                <w:sz w:val="20"/>
                <w:szCs w:val="20"/>
              </w:rPr>
              <w:t>以下（含）计</w:t>
            </w:r>
            <w:r>
              <w:rPr>
                <w:rStyle w:val="15"/>
                <w:rFonts w:hint="eastAsia"/>
                <w:color w:val="auto"/>
                <w:sz w:val="20"/>
                <w:szCs w:val="20"/>
              </w:rPr>
              <w:t>2</w:t>
            </w:r>
            <w:r>
              <w:rPr>
                <w:rStyle w:val="12"/>
                <w:rFonts w:hint="default" w:ascii="Times New Roman" w:hAnsi="Times New Roman"/>
                <w:color w:val="auto"/>
                <w:sz w:val="20"/>
                <w:szCs w:val="20"/>
              </w:rPr>
              <w:t>分，每超出1%扣0.1分，扣完为止。</w:t>
            </w:r>
          </w:p>
        </w:tc>
        <w:tc>
          <w:tcPr>
            <w:tcW w:w="390" w:type="pct"/>
            <w:tcMar>
              <w:top w:w="15" w:type="dxa"/>
              <w:left w:w="15" w:type="dxa"/>
              <w:right w:w="15" w:type="dxa"/>
            </w:tcMar>
            <w:vAlign w:val="center"/>
          </w:tcPr>
          <w:p>
            <w:pPr>
              <w:widowControl/>
              <w:textAlignment w:val="center"/>
              <w:rPr>
                <w:rStyle w:val="15"/>
                <w:color w:val="auto"/>
                <w:sz w:val="20"/>
                <w:szCs w:val="20"/>
              </w:rPr>
            </w:pPr>
            <w:r>
              <w:rPr>
                <w:rStyle w:val="15"/>
                <w:rFonts w:hint="eastAsia"/>
                <w:color w:val="auto"/>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4" w:hRule="atLeast"/>
        </w:trPr>
        <w:tc>
          <w:tcPr>
            <w:tcW w:w="438" w:type="pct"/>
            <w:vMerge w:val="continue"/>
            <w:tcMar>
              <w:top w:w="15" w:type="dxa"/>
              <w:left w:w="15" w:type="dxa"/>
              <w:right w:w="15" w:type="dxa"/>
            </w:tcMar>
            <w:vAlign w:val="center"/>
          </w:tcPr>
          <w:p>
            <w:pPr>
              <w:jc w:val="center"/>
              <w:rPr>
                <w:sz w:val="20"/>
                <w:szCs w:val="20"/>
              </w:rPr>
            </w:pPr>
          </w:p>
        </w:tc>
        <w:tc>
          <w:tcPr>
            <w:tcW w:w="372" w:type="pct"/>
            <w:vMerge w:val="continue"/>
            <w:tcBorders>
              <w:top w:val="nil"/>
            </w:tcBorders>
            <w:tcMar>
              <w:top w:w="15" w:type="dxa"/>
              <w:left w:w="15" w:type="dxa"/>
              <w:right w:w="15" w:type="dxa"/>
            </w:tcMar>
            <w:vAlign w:val="center"/>
          </w:tcPr>
          <w:p>
            <w:pPr>
              <w:jc w:val="center"/>
              <w:rPr>
                <w:sz w:val="20"/>
                <w:szCs w:val="20"/>
              </w:rPr>
            </w:pPr>
          </w:p>
        </w:tc>
        <w:tc>
          <w:tcPr>
            <w:tcW w:w="419" w:type="pct"/>
            <w:tcMar>
              <w:top w:w="15" w:type="dxa"/>
              <w:left w:w="15" w:type="dxa"/>
              <w:right w:w="15" w:type="dxa"/>
            </w:tcMar>
            <w:vAlign w:val="center"/>
          </w:tcPr>
          <w:p>
            <w:pPr>
              <w:widowControl/>
              <w:jc w:val="center"/>
              <w:textAlignment w:val="center"/>
              <w:rPr>
                <w:rFonts w:hint="eastAsia" w:eastAsiaTheme="minorEastAsia"/>
                <w:kern w:val="0"/>
                <w:sz w:val="20"/>
                <w:szCs w:val="20"/>
                <w:lang w:eastAsia="zh-CN"/>
              </w:rPr>
            </w:pPr>
            <w:r>
              <w:rPr>
                <w:kern w:val="0"/>
                <w:sz w:val="20"/>
                <w:szCs w:val="20"/>
              </w:rPr>
              <w:t>政府采购</w:t>
            </w:r>
          </w:p>
          <w:p>
            <w:pPr>
              <w:widowControl/>
              <w:jc w:val="center"/>
              <w:textAlignment w:val="center"/>
              <w:rPr>
                <w:rFonts w:hint="eastAsia" w:eastAsiaTheme="minorEastAsia"/>
                <w:kern w:val="0"/>
                <w:sz w:val="20"/>
                <w:szCs w:val="20"/>
                <w:lang w:eastAsia="zh-CN"/>
              </w:rPr>
            </w:pPr>
            <w:r>
              <w:rPr>
                <w:kern w:val="0"/>
                <w:sz w:val="20"/>
                <w:szCs w:val="20"/>
              </w:rPr>
              <w:t>执行率和</w:t>
            </w:r>
          </w:p>
          <w:p>
            <w:pPr>
              <w:widowControl/>
              <w:jc w:val="center"/>
              <w:textAlignment w:val="center"/>
              <w:rPr>
                <w:sz w:val="20"/>
                <w:szCs w:val="20"/>
              </w:rPr>
            </w:pPr>
            <w:r>
              <w:rPr>
                <w:kern w:val="0"/>
                <w:sz w:val="20"/>
                <w:szCs w:val="20"/>
              </w:rPr>
              <w:t>规范性</w:t>
            </w:r>
          </w:p>
        </w:tc>
        <w:tc>
          <w:tcPr>
            <w:tcW w:w="385" w:type="pct"/>
            <w:tcMar>
              <w:top w:w="15" w:type="dxa"/>
              <w:left w:w="15" w:type="dxa"/>
              <w:right w:w="15" w:type="dxa"/>
            </w:tcMar>
            <w:vAlign w:val="center"/>
          </w:tcPr>
          <w:p>
            <w:pPr>
              <w:widowControl/>
              <w:jc w:val="center"/>
              <w:textAlignment w:val="center"/>
              <w:rPr>
                <w:sz w:val="20"/>
                <w:szCs w:val="20"/>
              </w:rPr>
            </w:pPr>
            <w:r>
              <w:rPr>
                <w:kern w:val="0"/>
                <w:sz w:val="20"/>
                <w:szCs w:val="20"/>
              </w:rPr>
              <w:t>2</w:t>
            </w:r>
          </w:p>
        </w:tc>
        <w:tc>
          <w:tcPr>
            <w:tcW w:w="1315" w:type="pct"/>
            <w:tcMar>
              <w:top w:w="15" w:type="dxa"/>
              <w:left w:w="15" w:type="dxa"/>
              <w:right w:w="15" w:type="dxa"/>
            </w:tcMar>
            <w:vAlign w:val="center"/>
          </w:tcPr>
          <w:p>
            <w:pPr>
              <w:widowControl/>
              <w:jc w:val="left"/>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政府采购执行率</w:t>
            </w:r>
            <w:r>
              <w:rPr>
                <w:rStyle w:val="15"/>
                <w:color w:val="auto"/>
                <w:sz w:val="20"/>
                <w:szCs w:val="20"/>
              </w:rPr>
              <w:t>=</w:t>
            </w:r>
            <w:r>
              <w:rPr>
                <w:rStyle w:val="12"/>
                <w:rFonts w:hint="default" w:ascii="Times New Roman" w:hAnsi="Times New Roman"/>
                <w:color w:val="auto"/>
                <w:sz w:val="20"/>
                <w:szCs w:val="20"/>
              </w:rPr>
              <w:t>（实际政府采购金额</w:t>
            </w:r>
            <w:r>
              <w:rPr>
                <w:rStyle w:val="15"/>
                <w:color w:val="auto"/>
                <w:sz w:val="20"/>
                <w:szCs w:val="20"/>
              </w:rPr>
              <w:t>/</w:t>
            </w:r>
            <w:r>
              <w:rPr>
                <w:rStyle w:val="12"/>
                <w:rFonts w:hint="default" w:ascii="Times New Roman" w:hAnsi="Times New Roman"/>
                <w:color w:val="auto"/>
                <w:sz w:val="20"/>
                <w:szCs w:val="20"/>
              </w:rPr>
              <w:t>政府采购预算数）</w:t>
            </w:r>
            <w:r>
              <w:rPr>
                <w:rStyle w:val="15"/>
                <w:color w:val="auto"/>
                <w:sz w:val="20"/>
                <w:szCs w:val="20"/>
              </w:rPr>
              <w:t>×100%</w:t>
            </w:r>
            <w:r>
              <w:rPr>
                <w:rStyle w:val="12"/>
                <w:rFonts w:hint="default" w:ascii="Times New Roman" w:hAnsi="Times New Roman"/>
                <w:color w:val="auto"/>
                <w:sz w:val="20"/>
                <w:szCs w:val="20"/>
              </w:rPr>
              <w:t>；</w:t>
            </w:r>
          </w:p>
          <w:p>
            <w:pPr>
              <w:widowControl/>
              <w:jc w:val="left"/>
              <w:textAlignment w:val="center"/>
              <w:rPr>
                <w:rStyle w:val="12"/>
                <w:rFonts w:hint="eastAsia" w:ascii="Times New Roman" w:hAnsi="Times New Roman" w:eastAsia="宋体"/>
                <w:color w:val="auto"/>
                <w:spacing w:val="-6"/>
                <w:sz w:val="20"/>
                <w:szCs w:val="20"/>
                <w:lang w:eastAsia="zh-CN"/>
              </w:rPr>
            </w:pPr>
            <w:r>
              <w:rPr>
                <w:rStyle w:val="12"/>
                <w:rFonts w:hint="default" w:ascii="Times New Roman" w:hAnsi="Times New Roman"/>
                <w:color w:val="auto"/>
                <w:spacing w:val="-6"/>
                <w:sz w:val="20"/>
                <w:szCs w:val="20"/>
              </w:rPr>
              <w:t>政府采购预算：采购机关根据事业发展计划和行政任务编制的、并经过规定程序批准的年度政府采购计划。</w:t>
            </w:r>
          </w:p>
          <w:p>
            <w:pPr>
              <w:widowControl/>
              <w:jc w:val="left"/>
              <w:textAlignment w:val="center"/>
              <w:rPr>
                <w:sz w:val="20"/>
                <w:szCs w:val="20"/>
              </w:rPr>
            </w:pPr>
            <w:r>
              <w:rPr>
                <w:rStyle w:val="12"/>
                <w:rFonts w:hint="default" w:ascii="Times New Roman" w:hAnsi="Times New Roman"/>
                <w:color w:val="auto"/>
                <w:sz w:val="20"/>
                <w:szCs w:val="20"/>
              </w:rPr>
              <w:t>预算单位严格执行《政府采购法》，无规避政府采购或化整为零进行政府采购的行为。所有项目必须依法采购，履行验收手续。</w:t>
            </w:r>
          </w:p>
        </w:tc>
        <w:tc>
          <w:tcPr>
            <w:tcW w:w="1681" w:type="pct"/>
            <w:tcMar>
              <w:top w:w="15" w:type="dxa"/>
              <w:left w:w="15" w:type="dxa"/>
              <w:right w:w="15" w:type="dxa"/>
            </w:tcMar>
            <w:vAlign w:val="center"/>
          </w:tcPr>
          <w:p>
            <w:pPr>
              <w:widowControl/>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政府采购执行率</w:t>
            </w:r>
            <w:r>
              <w:rPr>
                <w:rStyle w:val="15"/>
                <w:color w:val="auto"/>
                <w:sz w:val="20"/>
                <w:szCs w:val="20"/>
              </w:rPr>
              <w:t>100%</w:t>
            </w:r>
            <w:r>
              <w:rPr>
                <w:rStyle w:val="12"/>
                <w:rFonts w:hint="default" w:ascii="Times New Roman" w:hAnsi="Times New Roman"/>
                <w:color w:val="auto"/>
                <w:sz w:val="20"/>
                <w:szCs w:val="20"/>
              </w:rPr>
              <w:t>计</w:t>
            </w:r>
            <w:r>
              <w:rPr>
                <w:rStyle w:val="15"/>
                <w:color w:val="auto"/>
                <w:sz w:val="20"/>
                <w:szCs w:val="20"/>
              </w:rPr>
              <w:t>1</w:t>
            </w:r>
            <w:r>
              <w:rPr>
                <w:rStyle w:val="12"/>
                <w:rFonts w:hint="default" w:ascii="Times New Roman" w:hAnsi="Times New Roman"/>
                <w:color w:val="auto"/>
                <w:sz w:val="20"/>
                <w:szCs w:val="20"/>
              </w:rPr>
              <w:t>分，每超过（降低）</w:t>
            </w:r>
            <w:r>
              <w:rPr>
                <w:rStyle w:val="15"/>
                <w:color w:val="auto"/>
                <w:sz w:val="20"/>
                <w:szCs w:val="20"/>
              </w:rPr>
              <w:t>1%</w:t>
            </w:r>
            <w:r>
              <w:rPr>
                <w:rStyle w:val="12"/>
                <w:rFonts w:hint="default" w:ascii="Times New Roman" w:hAnsi="Times New Roman"/>
                <w:color w:val="auto"/>
                <w:sz w:val="20"/>
                <w:szCs w:val="20"/>
              </w:rPr>
              <w:t>扣</w:t>
            </w:r>
            <w:r>
              <w:rPr>
                <w:rStyle w:val="15"/>
                <w:color w:val="auto"/>
                <w:sz w:val="20"/>
                <w:szCs w:val="20"/>
              </w:rPr>
              <w:t>0.1</w:t>
            </w:r>
            <w:r>
              <w:rPr>
                <w:rStyle w:val="12"/>
                <w:rFonts w:hint="default" w:ascii="Times New Roman" w:hAnsi="Times New Roman"/>
                <w:color w:val="auto"/>
                <w:sz w:val="20"/>
                <w:szCs w:val="20"/>
              </w:rPr>
              <w:t>分，扣完为止。</w:t>
            </w:r>
          </w:p>
          <w:p>
            <w:pPr>
              <w:widowControl/>
              <w:textAlignment w:val="center"/>
              <w:rPr>
                <w:sz w:val="20"/>
                <w:szCs w:val="20"/>
              </w:rPr>
            </w:pPr>
            <w:r>
              <w:rPr>
                <w:rStyle w:val="12"/>
                <w:rFonts w:hint="default" w:ascii="Times New Roman" w:hAnsi="Times New Roman"/>
                <w:color w:val="auto"/>
                <w:sz w:val="20"/>
                <w:szCs w:val="20"/>
              </w:rPr>
              <w:t>所有项目依法采购，无规避政府采购或化整为零进行政府采购的行为，并履行验收手续计1分，否则不得分。</w:t>
            </w: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2" w:hRule="atLeast"/>
        </w:trPr>
        <w:tc>
          <w:tcPr>
            <w:tcW w:w="438" w:type="pct"/>
            <w:vMerge w:val="continue"/>
            <w:tcMar>
              <w:top w:w="15" w:type="dxa"/>
              <w:left w:w="15" w:type="dxa"/>
              <w:right w:w="15" w:type="dxa"/>
            </w:tcMar>
            <w:vAlign w:val="center"/>
          </w:tcPr>
          <w:p>
            <w:pPr>
              <w:jc w:val="center"/>
              <w:rPr>
                <w:sz w:val="20"/>
                <w:szCs w:val="20"/>
              </w:rPr>
            </w:pPr>
          </w:p>
        </w:tc>
        <w:tc>
          <w:tcPr>
            <w:tcW w:w="372" w:type="pct"/>
            <w:vMerge w:val="restart"/>
            <w:tcMar>
              <w:top w:w="15" w:type="dxa"/>
              <w:left w:w="15" w:type="dxa"/>
              <w:right w:w="15" w:type="dxa"/>
            </w:tcMar>
            <w:vAlign w:val="center"/>
          </w:tcPr>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预算</w:t>
            </w:r>
          </w:p>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管理</w:t>
            </w:r>
          </w:p>
          <w:p>
            <w:pPr>
              <w:widowControl/>
              <w:jc w:val="center"/>
              <w:textAlignment w:val="center"/>
              <w:rPr>
                <w:sz w:val="20"/>
                <w:szCs w:val="20"/>
              </w:rPr>
            </w:pPr>
            <w:r>
              <w:rPr>
                <w:rStyle w:val="12"/>
                <w:rFonts w:hint="default" w:ascii="Times New Roman" w:hAnsi="Times New Roman"/>
                <w:color w:val="auto"/>
                <w:sz w:val="20"/>
                <w:szCs w:val="20"/>
              </w:rPr>
              <w:t>（</w:t>
            </w:r>
            <w:r>
              <w:rPr>
                <w:rStyle w:val="15"/>
                <w:color w:val="auto"/>
                <w:sz w:val="20"/>
                <w:szCs w:val="20"/>
              </w:rPr>
              <w:t>9</w:t>
            </w:r>
            <w:r>
              <w:rPr>
                <w:rStyle w:val="12"/>
                <w:rFonts w:hint="default" w:ascii="Times New Roman" w:hAnsi="Times New Roman"/>
                <w:color w:val="auto"/>
                <w:sz w:val="20"/>
                <w:szCs w:val="20"/>
              </w:rPr>
              <w:t>分）</w:t>
            </w:r>
          </w:p>
        </w:tc>
        <w:tc>
          <w:tcPr>
            <w:tcW w:w="419" w:type="pct"/>
            <w:tcMar>
              <w:top w:w="15" w:type="dxa"/>
              <w:left w:w="15" w:type="dxa"/>
              <w:right w:w="15" w:type="dxa"/>
            </w:tcMar>
            <w:vAlign w:val="center"/>
          </w:tcPr>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管理制度</w:t>
            </w:r>
          </w:p>
          <w:p>
            <w:pPr>
              <w:widowControl/>
              <w:jc w:val="center"/>
              <w:textAlignment w:val="center"/>
              <w:rPr>
                <w:sz w:val="20"/>
                <w:szCs w:val="20"/>
              </w:rPr>
            </w:pPr>
            <w:r>
              <w:rPr>
                <w:rStyle w:val="12"/>
                <w:rFonts w:hint="default" w:ascii="Times New Roman" w:hAnsi="Times New Roman"/>
                <w:color w:val="auto"/>
                <w:sz w:val="20"/>
                <w:szCs w:val="20"/>
              </w:rPr>
              <w:t>健全性</w:t>
            </w:r>
          </w:p>
        </w:tc>
        <w:tc>
          <w:tcPr>
            <w:tcW w:w="385" w:type="pct"/>
            <w:tcMar>
              <w:top w:w="15" w:type="dxa"/>
              <w:left w:w="15" w:type="dxa"/>
              <w:right w:w="15" w:type="dxa"/>
            </w:tcMar>
            <w:vAlign w:val="center"/>
          </w:tcPr>
          <w:p>
            <w:pPr>
              <w:widowControl/>
              <w:jc w:val="center"/>
              <w:textAlignment w:val="center"/>
              <w:rPr>
                <w:sz w:val="20"/>
                <w:szCs w:val="20"/>
              </w:rPr>
            </w:pPr>
            <w:r>
              <w:rPr>
                <w:kern w:val="0"/>
                <w:sz w:val="20"/>
                <w:szCs w:val="20"/>
              </w:rPr>
              <w:t>3</w:t>
            </w:r>
          </w:p>
        </w:tc>
        <w:tc>
          <w:tcPr>
            <w:tcW w:w="1315" w:type="pct"/>
            <w:tcMar>
              <w:top w:w="15" w:type="dxa"/>
              <w:left w:w="15" w:type="dxa"/>
              <w:right w:w="15" w:type="dxa"/>
            </w:tcMar>
            <w:vAlign w:val="center"/>
          </w:tcPr>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部门（单位）内控制度、内部财务管理制度和会计核算制度是否健全；</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相关管理制度（资金管理制度、项目管理制度）是否健全、是否合法合规、是否完整；</w:t>
            </w:r>
          </w:p>
          <w:p>
            <w:pPr>
              <w:widowControl/>
              <w:jc w:val="left"/>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③相关管理制度是否得到有效执行</w:t>
            </w:r>
            <w:r>
              <w:rPr>
                <w:rStyle w:val="12"/>
                <w:rFonts w:ascii="Times New Roman" w:hAnsi="Times New Roman"/>
                <w:color w:val="auto"/>
                <w:sz w:val="20"/>
                <w:szCs w:val="20"/>
              </w:rPr>
              <w:t>；</w:t>
            </w:r>
          </w:p>
          <w:p>
            <w:pPr>
              <w:widowControl/>
              <w:jc w:val="left"/>
              <w:textAlignment w:val="center"/>
              <w:rPr>
                <w:rStyle w:val="12"/>
                <w:rFonts w:hint="default" w:ascii="Times New Roman" w:hAnsi="Times New Roman"/>
                <w:color w:val="auto"/>
                <w:sz w:val="20"/>
                <w:szCs w:val="20"/>
              </w:rPr>
            </w:pPr>
            <w:r>
              <w:rPr>
                <w:rStyle w:val="12"/>
                <w:rFonts w:ascii="Times New Roman" w:hAnsi="Times New Roman"/>
                <w:color w:val="auto"/>
                <w:sz w:val="20"/>
                <w:szCs w:val="20"/>
              </w:rPr>
              <w:t>④落实</w:t>
            </w:r>
            <w:r>
              <w:rPr>
                <w:rStyle w:val="15"/>
                <w:rFonts w:hint="eastAsia"/>
                <w:color w:val="auto"/>
                <w:sz w:val="20"/>
                <w:szCs w:val="20"/>
              </w:rPr>
              <w:t>政府2021年“过紧日子”政策的具体举措及实施情况。</w:t>
            </w:r>
          </w:p>
        </w:tc>
        <w:tc>
          <w:tcPr>
            <w:tcW w:w="1681" w:type="pct"/>
            <w:tcMar>
              <w:top w:w="15" w:type="dxa"/>
              <w:left w:w="15" w:type="dxa"/>
              <w:right w:w="15" w:type="dxa"/>
            </w:tcMar>
            <w:vAlign w:val="center"/>
          </w:tcPr>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部门（单位）内控制度、内部财务管理制度和会计核算制度健全，计</w:t>
            </w:r>
            <w:r>
              <w:rPr>
                <w:rStyle w:val="15"/>
                <w:color w:val="auto"/>
                <w:sz w:val="20"/>
                <w:szCs w:val="20"/>
              </w:rPr>
              <w:t>1</w:t>
            </w:r>
            <w:r>
              <w:rPr>
                <w:rStyle w:val="12"/>
                <w:rFonts w:hint="default" w:ascii="Times New Roman" w:hAnsi="Times New Roman"/>
                <w:color w:val="auto"/>
                <w:sz w:val="20"/>
                <w:szCs w:val="20"/>
              </w:rPr>
              <w:t>分，否则酌情扣分；</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管理制度合法、合规、完整，计</w:t>
            </w:r>
            <w:r>
              <w:rPr>
                <w:rStyle w:val="15"/>
                <w:color w:val="auto"/>
                <w:sz w:val="20"/>
                <w:szCs w:val="20"/>
              </w:rPr>
              <w:t>1</w:t>
            </w:r>
            <w:r>
              <w:rPr>
                <w:rStyle w:val="12"/>
                <w:rFonts w:hint="default" w:ascii="Times New Roman" w:hAnsi="Times New Roman"/>
                <w:color w:val="auto"/>
                <w:sz w:val="20"/>
                <w:szCs w:val="20"/>
              </w:rPr>
              <w:t>分，否则酌情扣分；</w:t>
            </w:r>
          </w:p>
          <w:p>
            <w:pPr>
              <w:widowControl/>
              <w:textAlignment w:val="center"/>
              <w:rPr>
                <w:rStyle w:val="12"/>
                <w:rFonts w:hint="default" w:ascii="Times New Roman" w:hAnsi="Times New Roman"/>
                <w:color w:val="auto"/>
                <w:sz w:val="20"/>
                <w:szCs w:val="20"/>
              </w:rPr>
            </w:pPr>
            <w:r>
              <w:rPr>
                <w:rStyle w:val="12"/>
                <w:rFonts w:hint="default"/>
                <w:color w:val="auto"/>
                <w:sz w:val="20"/>
                <w:szCs w:val="20"/>
              </w:rPr>
              <w:t>③</w:t>
            </w:r>
            <w:r>
              <w:rPr>
                <w:rStyle w:val="12"/>
                <w:rFonts w:hint="default" w:ascii="Times New Roman" w:hAnsi="Times New Roman"/>
                <w:color w:val="auto"/>
                <w:sz w:val="20"/>
                <w:szCs w:val="20"/>
              </w:rPr>
              <w:t>管理制度得到有效执行，计</w:t>
            </w:r>
            <w:r>
              <w:rPr>
                <w:rStyle w:val="15"/>
                <w:rFonts w:hint="eastAsia"/>
                <w:color w:val="auto"/>
                <w:sz w:val="20"/>
                <w:szCs w:val="20"/>
              </w:rPr>
              <w:t>0.5</w:t>
            </w:r>
            <w:r>
              <w:rPr>
                <w:rStyle w:val="12"/>
                <w:rFonts w:hint="default" w:ascii="Times New Roman" w:hAnsi="Times New Roman"/>
                <w:color w:val="auto"/>
                <w:sz w:val="20"/>
                <w:szCs w:val="20"/>
              </w:rPr>
              <w:t>分，</w:t>
            </w:r>
            <w:r>
              <w:rPr>
                <w:rStyle w:val="15"/>
                <w:color w:val="auto"/>
                <w:sz w:val="20"/>
                <w:szCs w:val="20"/>
              </w:rPr>
              <w:t>1</w:t>
            </w:r>
            <w:r>
              <w:rPr>
                <w:rStyle w:val="12"/>
                <w:rFonts w:hint="default" w:ascii="Times New Roman" w:hAnsi="Times New Roman"/>
                <w:color w:val="auto"/>
                <w:sz w:val="20"/>
                <w:szCs w:val="20"/>
              </w:rPr>
              <w:t>例不符合扣</w:t>
            </w:r>
            <w:r>
              <w:rPr>
                <w:rStyle w:val="15"/>
                <w:color w:val="auto"/>
                <w:sz w:val="20"/>
                <w:szCs w:val="20"/>
              </w:rPr>
              <w:t>0.</w:t>
            </w:r>
            <w:r>
              <w:rPr>
                <w:rStyle w:val="15"/>
                <w:rFonts w:hint="eastAsia"/>
                <w:color w:val="auto"/>
                <w:sz w:val="20"/>
                <w:szCs w:val="20"/>
              </w:rPr>
              <w:t>1</w:t>
            </w:r>
            <w:r>
              <w:rPr>
                <w:rStyle w:val="12"/>
                <w:rFonts w:hint="default" w:ascii="Times New Roman" w:hAnsi="Times New Roman"/>
                <w:color w:val="auto"/>
                <w:sz w:val="20"/>
                <w:szCs w:val="20"/>
              </w:rPr>
              <w:t>分</w:t>
            </w:r>
            <w:r>
              <w:rPr>
                <w:rStyle w:val="12"/>
                <w:rFonts w:ascii="Times New Roman" w:hAnsi="Times New Roman"/>
                <w:color w:val="auto"/>
                <w:sz w:val="20"/>
                <w:szCs w:val="20"/>
              </w:rPr>
              <w:t>；</w:t>
            </w:r>
          </w:p>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④对非刚性项目支出压减5%及以上，计0.5分，否则不得分。</w:t>
            </w: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4" w:hRule="atLeast"/>
        </w:trPr>
        <w:tc>
          <w:tcPr>
            <w:tcW w:w="438" w:type="pct"/>
            <w:vMerge w:val="continue"/>
            <w:tcMar>
              <w:top w:w="15" w:type="dxa"/>
              <w:left w:w="15" w:type="dxa"/>
              <w:right w:w="15" w:type="dxa"/>
            </w:tcMar>
            <w:vAlign w:val="center"/>
          </w:tcPr>
          <w:p>
            <w:pPr>
              <w:jc w:val="center"/>
              <w:rPr>
                <w:sz w:val="20"/>
                <w:szCs w:val="20"/>
              </w:rPr>
            </w:pPr>
          </w:p>
        </w:tc>
        <w:tc>
          <w:tcPr>
            <w:tcW w:w="372" w:type="pct"/>
            <w:vMerge w:val="continue"/>
            <w:tcMar>
              <w:top w:w="15" w:type="dxa"/>
              <w:left w:w="15" w:type="dxa"/>
              <w:right w:w="15" w:type="dxa"/>
            </w:tcMar>
            <w:vAlign w:val="center"/>
          </w:tcPr>
          <w:p>
            <w:pPr>
              <w:jc w:val="center"/>
              <w:rPr>
                <w:sz w:val="20"/>
                <w:szCs w:val="20"/>
              </w:rPr>
            </w:pPr>
          </w:p>
        </w:tc>
        <w:tc>
          <w:tcPr>
            <w:tcW w:w="419" w:type="pct"/>
            <w:tcMar>
              <w:top w:w="15" w:type="dxa"/>
              <w:left w:w="15" w:type="dxa"/>
              <w:right w:w="15" w:type="dxa"/>
            </w:tcMar>
            <w:vAlign w:val="center"/>
          </w:tcPr>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资金使用</w:t>
            </w:r>
          </w:p>
          <w:p>
            <w:pPr>
              <w:widowControl/>
              <w:jc w:val="center"/>
              <w:textAlignment w:val="center"/>
              <w:rPr>
                <w:sz w:val="20"/>
                <w:szCs w:val="20"/>
              </w:rPr>
            </w:pPr>
            <w:r>
              <w:rPr>
                <w:rStyle w:val="12"/>
                <w:rFonts w:hint="default" w:ascii="Times New Roman" w:hAnsi="Times New Roman"/>
                <w:color w:val="auto"/>
                <w:sz w:val="20"/>
                <w:szCs w:val="20"/>
              </w:rPr>
              <w:t>合规性</w:t>
            </w:r>
          </w:p>
        </w:tc>
        <w:tc>
          <w:tcPr>
            <w:tcW w:w="385" w:type="pct"/>
            <w:tcMar>
              <w:top w:w="15" w:type="dxa"/>
              <w:left w:w="15" w:type="dxa"/>
              <w:right w:w="15" w:type="dxa"/>
            </w:tcMar>
            <w:vAlign w:val="center"/>
          </w:tcPr>
          <w:p>
            <w:pPr>
              <w:widowControl/>
              <w:jc w:val="center"/>
              <w:textAlignment w:val="center"/>
              <w:rPr>
                <w:sz w:val="20"/>
                <w:szCs w:val="20"/>
              </w:rPr>
            </w:pPr>
            <w:r>
              <w:rPr>
                <w:rFonts w:hint="eastAsia"/>
                <w:kern w:val="0"/>
                <w:sz w:val="20"/>
                <w:szCs w:val="20"/>
              </w:rPr>
              <w:t>6</w:t>
            </w:r>
          </w:p>
        </w:tc>
        <w:tc>
          <w:tcPr>
            <w:tcW w:w="1315" w:type="pct"/>
            <w:tcMar>
              <w:top w:w="15" w:type="dxa"/>
              <w:left w:w="15" w:type="dxa"/>
              <w:right w:w="15" w:type="dxa"/>
            </w:tcMar>
            <w:vAlign w:val="center"/>
          </w:tcPr>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是否符合国家财经法规和财务管理制度以及有关专项资金管理办法的规定；</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资金的支付是否有完整的审批程序和手续；</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③</w:t>
            </w:r>
            <w:r>
              <w:rPr>
                <w:rStyle w:val="12"/>
                <w:rFonts w:hint="default" w:ascii="Times New Roman" w:hAnsi="Times New Roman"/>
                <w:color w:val="auto"/>
                <w:sz w:val="20"/>
                <w:szCs w:val="20"/>
              </w:rPr>
              <w:t>重大项目开支和大额资金使用是否经单位党组集体研究决策；</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④</w:t>
            </w:r>
            <w:r>
              <w:rPr>
                <w:rStyle w:val="12"/>
                <w:rFonts w:hint="default" w:ascii="Times New Roman" w:hAnsi="Times New Roman"/>
                <w:color w:val="auto"/>
                <w:sz w:val="20"/>
                <w:szCs w:val="20"/>
              </w:rPr>
              <w:t>是否符合项目预算批复或合同规定的用途；</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⑤</w:t>
            </w:r>
            <w:r>
              <w:rPr>
                <w:rStyle w:val="12"/>
                <w:rFonts w:hint="default" w:ascii="Times New Roman" w:hAnsi="Times New Roman"/>
                <w:color w:val="auto"/>
                <w:sz w:val="20"/>
                <w:szCs w:val="20"/>
              </w:rPr>
              <w:t>是否存在截留、挤占、挪用、虚列支出等情况；</w:t>
            </w:r>
          </w:p>
          <w:p>
            <w:pPr>
              <w:widowControl/>
              <w:jc w:val="left"/>
              <w:textAlignment w:val="center"/>
              <w:rPr>
                <w:sz w:val="20"/>
                <w:szCs w:val="20"/>
              </w:rPr>
            </w:pPr>
            <w:r>
              <w:rPr>
                <w:rStyle w:val="12"/>
                <w:rFonts w:hint="default"/>
                <w:color w:val="auto"/>
                <w:sz w:val="20"/>
                <w:szCs w:val="20"/>
              </w:rPr>
              <w:t>⑥</w:t>
            </w:r>
            <w:r>
              <w:rPr>
                <w:rStyle w:val="12"/>
                <w:rFonts w:hint="default" w:ascii="Times New Roman" w:hAnsi="Times New Roman"/>
                <w:color w:val="auto"/>
                <w:sz w:val="20"/>
                <w:szCs w:val="20"/>
              </w:rPr>
              <w:t>是否存在重复申报项目、虚报冒领资金。</w:t>
            </w:r>
          </w:p>
        </w:tc>
        <w:tc>
          <w:tcPr>
            <w:tcW w:w="1681" w:type="pct"/>
            <w:tcMar>
              <w:top w:w="15" w:type="dxa"/>
              <w:left w:w="15" w:type="dxa"/>
              <w:right w:w="15" w:type="dxa"/>
            </w:tcMar>
            <w:vAlign w:val="center"/>
          </w:tcPr>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符合国家财经法规和财务管理制度以及有关专项资金管理办法的规定，计</w:t>
            </w:r>
            <w:r>
              <w:rPr>
                <w:rStyle w:val="15"/>
                <w:color w:val="auto"/>
                <w:sz w:val="20"/>
                <w:szCs w:val="20"/>
              </w:rPr>
              <w:t>1</w:t>
            </w:r>
            <w:r>
              <w:rPr>
                <w:rStyle w:val="12"/>
                <w:rFonts w:hint="default" w:ascii="Times New Roman" w:hAnsi="Times New Roman"/>
                <w:color w:val="auto"/>
                <w:sz w:val="20"/>
                <w:szCs w:val="20"/>
              </w:rPr>
              <w:t>分，</w:t>
            </w:r>
            <w:r>
              <w:rPr>
                <w:rStyle w:val="15"/>
                <w:color w:val="auto"/>
                <w:sz w:val="20"/>
                <w:szCs w:val="20"/>
              </w:rPr>
              <w:t>1</w:t>
            </w:r>
            <w:r>
              <w:rPr>
                <w:rStyle w:val="12"/>
                <w:rFonts w:hint="default" w:ascii="Times New Roman" w:hAnsi="Times New Roman"/>
                <w:color w:val="auto"/>
                <w:sz w:val="20"/>
                <w:szCs w:val="20"/>
              </w:rPr>
              <w:t>例不符合扣</w:t>
            </w:r>
            <w:r>
              <w:rPr>
                <w:rStyle w:val="15"/>
                <w:color w:val="auto"/>
                <w:sz w:val="20"/>
                <w:szCs w:val="20"/>
              </w:rPr>
              <w:t>0.2</w:t>
            </w:r>
            <w:r>
              <w:rPr>
                <w:rStyle w:val="12"/>
                <w:rFonts w:hint="default" w:ascii="Times New Roman" w:hAnsi="Times New Roman"/>
                <w:color w:val="auto"/>
                <w:sz w:val="20"/>
                <w:szCs w:val="20"/>
              </w:rPr>
              <w:t>分；</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资金的支付有完整的审批程序和手续，计</w:t>
            </w:r>
            <w:r>
              <w:rPr>
                <w:rStyle w:val="15"/>
                <w:color w:val="auto"/>
                <w:sz w:val="20"/>
                <w:szCs w:val="20"/>
              </w:rPr>
              <w:t>1</w:t>
            </w:r>
            <w:r>
              <w:rPr>
                <w:rStyle w:val="12"/>
                <w:rFonts w:hint="default" w:ascii="Times New Roman" w:hAnsi="Times New Roman"/>
                <w:color w:val="auto"/>
                <w:sz w:val="20"/>
                <w:szCs w:val="20"/>
              </w:rPr>
              <w:t>分，</w:t>
            </w:r>
            <w:r>
              <w:rPr>
                <w:rStyle w:val="15"/>
                <w:color w:val="auto"/>
                <w:sz w:val="20"/>
                <w:szCs w:val="20"/>
              </w:rPr>
              <w:t>1</w:t>
            </w:r>
            <w:r>
              <w:rPr>
                <w:rStyle w:val="12"/>
                <w:rFonts w:hint="default" w:ascii="Times New Roman" w:hAnsi="Times New Roman"/>
                <w:color w:val="auto"/>
                <w:sz w:val="20"/>
                <w:szCs w:val="20"/>
              </w:rPr>
              <w:t>例不符合扣</w:t>
            </w:r>
            <w:r>
              <w:rPr>
                <w:rStyle w:val="15"/>
                <w:color w:val="auto"/>
                <w:sz w:val="20"/>
                <w:szCs w:val="20"/>
              </w:rPr>
              <w:t>0.2</w:t>
            </w:r>
            <w:r>
              <w:rPr>
                <w:rStyle w:val="12"/>
                <w:rFonts w:hint="default" w:ascii="Times New Roman" w:hAnsi="Times New Roman"/>
                <w:color w:val="auto"/>
                <w:sz w:val="20"/>
                <w:szCs w:val="20"/>
              </w:rPr>
              <w:t>分；</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③</w:t>
            </w:r>
            <w:r>
              <w:rPr>
                <w:rStyle w:val="12"/>
                <w:rFonts w:hint="default" w:ascii="Times New Roman" w:hAnsi="Times New Roman"/>
                <w:color w:val="auto"/>
                <w:sz w:val="20"/>
                <w:szCs w:val="20"/>
              </w:rPr>
              <w:t>重大项目开支和大额资金使用经过单位党组集体研究决策，计</w:t>
            </w:r>
            <w:r>
              <w:rPr>
                <w:rStyle w:val="15"/>
                <w:color w:val="auto"/>
                <w:sz w:val="20"/>
                <w:szCs w:val="20"/>
              </w:rPr>
              <w:t>1</w:t>
            </w:r>
            <w:r>
              <w:rPr>
                <w:rStyle w:val="12"/>
                <w:rFonts w:hint="default" w:ascii="Times New Roman" w:hAnsi="Times New Roman"/>
                <w:color w:val="auto"/>
                <w:sz w:val="20"/>
                <w:szCs w:val="20"/>
              </w:rPr>
              <w:t>分，</w:t>
            </w:r>
            <w:r>
              <w:rPr>
                <w:rStyle w:val="15"/>
                <w:color w:val="auto"/>
                <w:sz w:val="20"/>
                <w:szCs w:val="20"/>
              </w:rPr>
              <w:t>1</w:t>
            </w:r>
            <w:r>
              <w:rPr>
                <w:rStyle w:val="12"/>
                <w:rFonts w:hint="default" w:ascii="Times New Roman" w:hAnsi="Times New Roman"/>
                <w:color w:val="auto"/>
                <w:sz w:val="20"/>
                <w:szCs w:val="20"/>
              </w:rPr>
              <w:t>例不符合扣</w:t>
            </w:r>
            <w:r>
              <w:rPr>
                <w:rStyle w:val="15"/>
                <w:color w:val="auto"/>
                <w:sz w:val="20"/>
                <w:szCs w:val="20"/>
              </w:rPr>
              <w:t>0.2</w:t>
            </w:r>
            <w:r>
              <w:rPr>
                <w:rStyle w:val="12"/>
                <w:rFonts w:hint="default" w:ascii="Times New Roman" w:hAnsi="Times New Roman"/>
                <w:color w:val="auto"/>
                <w:sz w:val="20"/>
                <w:szCs w:val="20"/>
              </w:rPr>
              <w:t>分；</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④</w:t>
            </w:r>
            <w:r>
              <w:rPr>
                <w:rStyle w:val="12"/>
                <w:rFonts w:hint="default" w:ascii="Times New Roman" w:hAnsi="Times New Roman"/>
                <w:color w:val="auto"/>
                <w:sz w:val="20"/>
                <w:szCs w:val="20"/>
              </w:rPr>
              <w:t>符合项目预算批复或合同规定的用途，计</w:t>
            </w:r>
            <w:r>
              <w:rPr>
                <w:rStyle w:val="15"/>
                <w:color w:val="auto"/>
                <w:sz w:val="20"/>
                <w:szCs w:val="20"/>
              </w:rPr>
              <w:t>1</w:t>
            </w:r>
            <w:r>
              <w:rPr>
                <w:rStyle w:val="12"/>
                <w:rFonts w:hint="default" w:ascii="Times New Roman" w:hAnsi="Times New Roman"/>
                <w:color w:val="auto"/>
                <w:sz w:val="20"/>
                <w:szCs w:val="20"/>
              </w:rPr>
              <w:t>分，</w:t>
            </w:r>
            <w:r>
              <w:rPr>
                <w:rStyle w:val="15"/>
                <w:color w:val="auto"/>
                <w:sz w:val="20"/>
                <w:szCs w:val="20"/>
              </w:rPr>
              <w:t>1</w:t>
            </w:r>
            <w:r>
              <w:rPr>
                <w:rStyle w:val="12"/>
                <w:rFonts w:hint="default" w:ascii="Times New Roman" w:hAnsi="Times New Roman"/>
                <w:color w:val="auto"/>
                <w:sz w:val="20"/>
                <w:szCs w:val="20"/>
              </w:rPr>
              <w:t>例不符合扣</w:t>
            </w:r>
            <w:r>
              <w:rPr>
                <w:rStyle w:val="15"/>
                <w:color w:val="auto"/>
                <w:sz w:val="20"/>
                <w:szCs w:val="20"/>
              </w:rPr>
              <w:t>0.2</w:t>
            </w:r>
            <w:r>
              <w:rPr>
                <w:rStyle w:val="12"/>
                <w:rFonts w:hint="default" w:ascii="Times New Roman" w:hAnsi="Times New Roman"/>
                <w:color w:val="auto"/>
                <w:sz w:val="20"/>
                <w:szCs w:val="20"/>
              </w:rPr>
              <w:t>分；</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⑤</w:t>
            </w:r>
            <w:r>
              <w:rPr>
                <w:rStyle w:val="12"/>
                <w:rFonts w:hint="default" w:ascii="Times New Roman" w:hAnsi="Times New Roman"/>
                <w:color w:val="auto"/>
                <w:sz w:val="20"/>
                <w:szCs w:val="20"/>
              </w:rPr>
              <w:t>不存在截留、挤占、挪用、虚列支出等情况，计</w:t>
            </w:r>
            <w:r>
              <w:rPr>
                <w:rStyle w:val="15"/>
                <w:color w:val="auto"/>
                <w:sz w:val="20"/>
                <w:szCs w:val="20"/>
              </w:rPr>
              <w:t>1</w:t>
            </w:r>
            <w:r>
              <w:rPr>
                <w:rStyle w:val="12"/>
                <w:rFonts w:hint="default" w:ascii="Times New Roman" w:hAnsi="Times New Roman"/>
                <w:color w:val="auto"/>
                <w:sz w:val="20"/>
                <w:szCs w:val="20"/>
              </w:rPr>
              <w:t>分，</w:t>
            </w:r>
            <w:r>
              <w:rPr>
                <w:rStyle w:val="15"/>
                <w:color w:val="auto"/>
                <w:sz w:val="20"/>
                <w:szCs w:val="20"/>
              </w:rPr>
              <w:t>1</w:t>
            </w:r>
            <w:r>
              <w:rPr>
                <w:rStyle w:val="12"/>
                <w:rFonts w:hint="default" w:ascii="Times New Roman" w:hAnsi="Times New Roman"/>
                <w:color w:val="auto"/>
                <w:sz w:val="20"/>
                <w:szCs w:val="20"/>
              </w:rPr>
              <w:t>例不符合本指标</w:t>
            </w:r>
            <w:r>
              <w:rPr>
                <w:rStyle w:val="15"/>
                <w:color w:val="auto"/>
                <w:sz w:val="20"/>
                <w:szCs w:val="20"/>
              </w:rPr>
              <w:t>6</w:t>
            </w:r>
            <w:r>
              <w:rPr>
                <w:rStyle w:val="12"/>
                <w:rFonts w:hint="default" w:ascii="Times New Roman" w:hAnsi="Times New Roman"/>
                <w:color w:val="auto"/>
                <w:sz w:val="20"/>
                <w:szCs w:val="20"/>
              </w:rPr>
              <w:t>分全扣；</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⑥</w:t>
            </w:r>
            <w:r>
              <w:rPr>
                <w:rStyle w:val="12"/>
                <w:rFonts w:hint="default" w:ascii="Times New Roman" w:hAnsi="Times New Roman"/>
                <w:color w:val="auto"/>
                <w:spacing w:val="-6"/>
                <w:sz w:val="20"/>
                <w:szCs w:val="20"/>
              </w:rPr>
              <w:t>不存在重复申报项目、虚报冒领资金，计</w:t>
            </w:r>
            <w:r>
              <w:rPr>
                <w:rStyle w:val="15"/>
                <w:color w:val="auto"/>
                <w:spacing w:val="-6"/>
                <w:sz w:val="20"/>
                <w:szCs w:val="20"/>
              </w:rPr>
              <w:t>1</w:t>
            </w:r>
            <w:r>
              <w:rPr>
                <w:rStyle w:val="12"/>
                <w:rFonts w:hint="default" w:ascii="Times New Roman" w:hAnsi="Times New Roman"/>
                <w:color w:val="auto"/>
                <w:spacing w:val="-6"/>
                <w:sz w:val="20"/>
                <w:szCs w:val="20"/>
              </w:rPr>
              <w:t>分，</w:t>
            </w:r>
            <w:r>
              <w:rPr>
                <w:rStyle w:val="15"/>
                <w:color w:val="auto"/>
                <w:spacing w:val="-6"/>
                <w:sz w:val="20"/>
                <w:szCs w:val="20"/>
              </w:rPr>
              <w:t>1</w:t>
            </w:r>
            <w:r>
              <w:rPr>
                <w:rStyle w:val="12"/>
                <w:rFonts w:hint="default" w:ascii="Times New Roman" w:hAnsi="Times New Roman"/>
                <w:color w:val="auto"/>
                <w:spacing w:val="-6"/>
                <w:sz w:val="20"/>
                <w:szCs w:val="20"/>
              </w:rPr>
              <w:t>例不符合本指标6分全扣</w:t>
            </w:r>
            <w:r>
              <w:rPr>
                <w:rStyle w:val="12"/>
                <w:rFonts w:hint="default" w:ascii="Times New Roman" w:hAnsi="Times New Roman"/>
                <w:color w:val="auto"/>
                <w:sz w:val="20"/>
                <w:szCs w:val="20"/>
              </w:rPr>
              <w:t>。</w:t>
            </w:r>
          </w:p>
          <w:p>
            <w:pPr>
              <w:widowControl/>
              <w:textAlignment w:val="center"/>
              <w:rPr>
                <w:rStyle w:val="12"/>
                <w:rFonts w:hint="eastAsia" w:ascii="Times New Roman" w:hAnsi="Times New Roman" w:eastAsia="宋体"/>
                <w:color w:val="auto"/>
                <w:sz w:val="20"/>
                <w:szCs w:val="20"/>
                <w:lang w:eastAsia="zh-CN"/>
              </w:rPr>
            </w:pP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38" w:type="pct"/>
            <w:vMerge w:val="continue"/>
            <w:tcMar>
              <w:top w:w="15" w:type="dxa"/>
              <w:left w:w="15" w:type="dxa"/>
              <w:right w:w="15" w:type="dxa"/>
            </w:tcMar>
            <w:vAlign w:val="center"/>
          </w:tcPr>
          <w:p>
            <w:pPr>
              <w:jc w:val="center"/>
              <w:rPr>
                <w:rStyle w:val="12"/>
                <w:rFonts w:hint="default" w:ascii="Times New Roman" w:hAnsi="Times New Roman"/>
                <w:color w:val="auto"/>
                <w:sz w:val="20"/>
                <w:szCs w:val="20"/>
              </w:rPr>
            </w:pPr>
          </w:p>
        </w:tc>
        <w:tc>
          <w:tcPr>
            <w:tcW w:w="372" w:type="pct"/>
            <w:vMerge w:val="restart"/>
            <w:tcMar>
              <w:top w:w="15" w:type="dxa"/>
              <w:left w:w="15" w:type="dxa"/>
              <w:right w:w="15" w:type="dxa"/>
            </w:tcMar>
            <w:vAlign w:val="center"/>
          </w:tcPr>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预算</w:t>
            </w:r>
          </w:p>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管理</w:t>
            </w:r>
          </w:p>
          <w:p>
            <w:pPr>
              <w:widowControl/>
              <w:jc w:val="center"/>
              <w:textAlignment w:val="center"/>
              <w:rPr>
                <w:sz w:val="20"/>
                <w:szCs w:val="20"/>
              </w:rPr>
            </w:pPr>
            <w:r>
              <w:rPr>
                <w:rStyle w:val="12"/>
                <w:rFonts w:hint="default" w:ascii="Times New Roman" w:hAnsi="Times New Roman"/>
                <w:color w:val="auto"/>
                <w:sz w:val="20"/>
                <w:szCs w:val="20"/>
              </w:rPr>
              <w:t>（</w:t>
            </w:r>
            <w:r>
              <w:rPr>
                <w:rStyle w:val="15"/>
                <w:rFonts w:hint="eastAsia"/>
                <w:color w:val="auto"/>
                <w:sz w:val="20"/>
                <w:szCs w:val="20"/>
              </w:rPr>
              <w:t>11</w:t>
            </w:r>
            <w:r>
              <w:rPr>
                <w:rStyle w:val="12"/>
                <w:rFonts w:hint="default" w:ascii="Times New Roman" w:hAnsi="Times New Roman"/>
                <w:color w:val="auto"/>
                <w:sz w:val="20"/>
                <w:szCs w:val="20"/>
              </w:rPr>
              <w:t>分）</w:t>
            </w:r>
          </w:p>
        </w:tc>
        <w:tc>
          <w:tcPr>
            <w:tcW w:w="419" w:type="pct"/>
            <w:tcMar>
              <w:top w:w="15" w:type="dxa"/>
              <w:left w:w="15" w:type="dxa"/>
              <w:right w:w="15" w:type="dxa"/>
            </w:tcMar>
            <w:vAlign w:val="center"/>
          </w:tcPr>
          <w:p>
            <w:pPr>
              <w:widowControl/>
              <w:jc w:val="center"/>
              <w:textAlignment w:val="center"/>
              <w:rPr>
                <w:kern w:val="0"/>
                <w:sz w:val="20"/>
                <w:szCs w:val="20"/>
              </w:rPr>
            </w:pPr>
            <w:r>
              <w:rPr>
                <w:kern w:val="0"/>
                <w:sz w:val="20"/>
                <w:szCs w:val="20"/>
              </w:rPr>
              <w:t>信息</w:t>
            </w:r>
          </w:p>
          <w:p>
            <w:pPr>
              <w:widowControl/>
              <w:jc w:val="center"/>
              <w:textAlignment w:val="center"/>
              <w:rPr>
                <w:sz w:val="20"/>
                <w:szCs w:val="20"/>
              </w:rPr>
            </w:pPr>
            <w:r>
              <w:rPr>
                <w:kern w:val="0"/>
                <w:sz w:val="20"/>
                <w:szCs w:val="20"/>
              </w:rPr>
              <w:t>公开性</w:t>
            </w:r>
          </w:p>
        </w:tc>
        <w:tc>
          <w:tcPr>
            <w:tcW w:w="385" w:type="pct"/>
            <w:tcMar>
              <w:top w:w="15" w:type="dxa"/>
              <w:left w:w="15" w:type="dxa"/>
              <w:right w:w="15" w:type="dxa"/>
            </w:tcMar>
            <w:vAlign w:val="center"/>
          </w:tcPr>
          <w:p>
            <w:pPr>
              <w:widowControl/>
              <w:jc w:val="center"/>
              <w:textAlignment w:val="center"/>
              <w:rPr>
                <w:sz w:val="20"/>
                <w:szCs w:val="20"/>
              </w:rPr>
            </w:pPr>
            <w:r>
              <w:rPr>
                <w:kern w:val="0"/>
                <w:sz w:val="20"/>
                <w:szCs w:val="20"/>
              </w:rPr>
              <w:t>2</w:t>
            </w:r>
          </w:p>
        </w:tc>
        <w:tc>
          <w:tcPr>
            <w:tcW w:w="1315" w:type="pct"/>
            <w:tcMar>
              <w:top w:w="15" w:type="dxa"/>
              <w:left w:w="15" w:type="dxa"/>
              <w:right w:w="15" w:type="dxa"/>
            </w:tcMar>
            <w:vAlign w:val="center"/>
          </w:tcPr>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预算单位按规定及时、准确、完整的公开预决算和绩效管理信息；</w:t>
            </w:r>
          </w:p>
          <w:p>
            <w:pPr>
              <w:widowControl/>
              <w:jc w:val="left"/>
              <w:textAlignment w:val="center"/>
              <w:rPr>
                <w:sz w:val="20"/>
                <w:szCs w:val="20"/>
              </w:rPr>
            </w:pPr>
            <w:r>
              <w:rPr>
                <w:rStyle w:val="12"/>
                <w:rFonts w:hint="default"/>
                <w:color w:val="auto"/>
                <w:sz w:val="20"/>
                <w:szCs w:val="20"/>
              </w:rPr>
              <w:t>②</w:t>
            </w:r>
            <w:r>
              <w:rPr>
                <w:rStyle w:val="12"/>
                <w:rFonts w:hint="default" w:ascii="Times New Roman" w:hAnsi="Times New Roman"/>
                <w:color w:val="auto"/>
                <w:sz w:val="20"/>
                <w:szCs w:val="20"/>
              </w:rPr>
              <w:t>基础数据信息和会计信息资料真实、准确、完整。</w:t>
            </w:r>
          </w:p>
        </w:tc>
        <w:tc>
          <w:tcPr>
            <w:tcW w:w="1681" w:type="pct"/>
            <w:tcMar>
              <w:top w:w="15" w:type="dxa"/>
              <w:left w:w="15" w:type="dxa"/>
              <w:right w:w="15" w:type="dxa"/>
            </w:tcMar>
            <w:vAlign w:val="center"/>
          </w:tcPr>
          <w:p>
            <w:pPr>
              <w:widowControl/>
              <w:textAlignment w:val="center"/>
              <w:rPr>
                <w:sz w:val="20"/>
                <w:szCs w:val="20"/>
              </w:rPr>
            </w:pPr>
            <w:r>
              <w:rPr>
                <w:rStyle w:val="12"/>
                <w:rFonts w:hint="default"/>
                <w:color w:val="auto"/>
                <w:sz w:val="20"/>
                <w:szCs w:val="20"/>
              </w:rPr>
              <w:t>①</w:t>
            </w:r>
            <w:r>
              <w:rPr>
                <w:rStyle w:val="12"/>
                <w:rFonts w:hint="default" w:ascii="Times New Roman" w:hAnsi="Times New Roman"/>
                <w:color w:val="auto"/>
                <w:sz w:val="20"/>
                <w:szCs w:val="20"/>
              </w:rPr>
              <w:t>、</w:t>
            </w:r>
            <w:r>
              <w:rPr>
                <w:rStyle w:val="12"/>
                <w:rFonts w:hint="default"/>
                <w:color w:val="auto"/>
                <w:sz w:val="20"/>
                <w:szCs w:val="20"/>
              </w:rPr>
              <w:t>②</w:t>
            </w:r>
            <w:r>
              <w:rPr>
                <w:rStyle w:val="12"/>
                <w:rFonts w:hint="default" w:ascii="Times New Roman" w:hAnsi="Times New Roman"/>
                <w:color w:val="auto"/>
                <w:sz w:val="20"/>
                <w:szCs w:val="20"/>
              </w:rPr>
              <w:t>各计</w:t>
            </w:r>
            <w:r>
              <w:rPr>
                <w:rStyle w:val="15"/>
                <w:color w:val="auto"/>
                <w:sz w:val="20"/>
                <w:szCs w:val="20"/>
              </w:rPr>
              <w:t>1</w:t>
            </w:r>
            <w:r>
              <w:rPr>
                <w:rStyle w:val="12"/>
                <w:rFonts w:hint="default" w:ascii="Times New Roman" w:hAnsi="Times New Roman"/>
                <w:color w:val="auto"/>
                <w:sz w:val="20"/>
                <w:szCs w:val="20"/>
              </w:rPr>
              <w:t>分，否则，酌情扣分；</w:t>
            </w: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trPr>
        <w:tc>
          <w:tcPr>
            <w:tcW w:w="438" w:type="pct"/>
            <w:vMerge w:val="continue"/>
            <w:tcMar>
              <w:top w:w="15" w:type="dxa"/>
              <w:left w:w="15" w:type="dxa"/>
              <w:right w:w="15" w:type="dxa"/>
            </w:tcMar>
            <w:vAlign w:val="center"/>
          </w:tcPr>
          <w:p>
            <w:pPr>
              <w:jc w:val="center"/>
              <w:rPr>
                <w:rStyle w:val="12"/>
                <w:rFonts w:hint="default" w:ascii="Times New Roman" w:hAnsi="Times New Roman"/>
                <w:color w:val="auto"/>
                <w:sz w:val="20"/>
                <w:szCs w:val="20"/>
              </w:rPr>
            </w:pPr>
          </w:p>
        </w:tc>
        <w:tc>
          <w:tcPr>
            <w:tcW w:w="372" w:type="pct"/>
            <w:vMerge w:val="continue"/>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tc>
        <w:tc>
          <w:tcPr>
            <w:tcW w:w="419" w:type="pct"/>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kern w:val="0"/>
                <w:sz w:val="20"/>
                <w:szCs w:val="20"/>
              </w:rPr>
              <w:t>绩效</w:t>
            </w:r>
          </w:p>
          <w:p>
            <w:pPr>
              <w:widowControl/>
              <w:jc w:val="center"/>
              <w:textAlignment w:val="center"/>
              <w:rPr>
                <w:rFonts w:ascii="宋体" w:hAnsi="宋体" w:cs="宋体"/>
                <w:kern w:val="0"/>
                <w:sz w:val="20"/>
                <w:szCs w:val="20"/>
              </w:rPr>
            </w:pPr>
            <w:r>
              <w:rPr>
                <w:rFonts w:hint="eastAsia" w:ascii="宋体" w:hAnsi="宋体" w:eastAsia="宋体" w:cs="宋体"/>
                <w:kern w:val="0"/>
                <w:sz w:val="20"/>
                <w:szCs w:val="20"/>
              </w:rPr>
              <w:t>自评</w:t>
            </w:r>
          </w:p>
          <w:p>
            <w:pPr>
              <w:widowControl/>
              <w:jc w:val="center"/>
              <w:textAlignment w:val="center"/>
              <w:rPr>
                <w:rFonts w:ascii="宋体" w:hAnsi="宋体" w:cs="宋体"/>
                <w:kern w:val="0"/>
                <w:sz w:val="20"/>
                <w:szCs w:val="20"/>
              </w:rPr>
            </w:pPr>
            <w:r>
              <w:rPr>
                <w:rFonts w:hint="eastAsia" w:ascii="宋体" w:hAnsi="宋体" w:eastAsia="宋体" w:cs="宋体"/>
                <w:kern w:val="0"/>
                <w:sz w:val="20"/>
                <w:szCs w:val="20"/>
              </w:rPr>
              <w:t>管理</w:t>
            </w:r>
          </w:p>
          <w:p>
            <w:pPr>
              <w:widowControl/>
              <w:jc w:val="center"/>
              <w:textAlignment w:val="center"/>
              <w:rPr>
                <w:rFonts w:ascii="宋体" w:hAnsi="宋体" w:cs="宋体"/>
                <w:sz w:val="20"/>
                <w:szCs w:val="20"/>
              </w:rPr>
            </w:pPr>
            <w:r>
              <w:rPr>
                <w:rFonts w:hint="eastAsia" w:ascii="宋体" w:hAnsi="宋体" w:eastAsia="宋体" w:cs="宋体"/>
                <w:kern w:val="0"/>
                <w:sz w:val="20"/>
                <w:szCs w:val="20"/>
              </w:rPr>
              <w:t>情况</w:t>
            </w:r>
          </w:p>
        </w:tc>
        <w:tc>
          <w:tcPr>
            <w:tcW w:w="385" w:type="pct"/>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kern w:val="0"/>
                <w:sz w:val="20"/>
                <w:szCs w:val="20"/>
              </w:rPr>
              <w:t>4</w:t>
            </w:r>
          </w:p>
        </w:tc>
        <w:tc>
          <w:tcPr>
            <w:tcW w:w="1315" w:type="pct"/>
            <w:tcMar>
              <w:top w:w="15" w:type="dxa"/>
              <w:left w:w="15" w:type="dxa"/>
              <w:right w:w="15" w:type="dxa"/>
            </w:tcMar>
            <w:vAlign w:val="center"/>
          </w:tcPr>
          <w:p>
            <w:pPr>
              <w:widowControl/>
              <w:jc w:val="left"/>
              <w:textAlignment w:val="center"/>
              <w:rPr>
                <w:rFonts w:ascii="宋体" w:hAnsi="宋体" w:cs="宋体"/>
                <w:sz w:val="20"/>
                <w:szCs w:val="20"/>
              </w:rPr>
            </w:pPr>
            <w:r>
              <w:rPr>
                <w:rFonts w:hint="eastAsia" w:ascii="宋体" w:hAnsi="宋体" w:eastAsia="宋体" w:cs="宋体"/>
                <w:kern w:val="0"/>
                <w:sz w:val="20"/>
                <w:szCs w:val="20"/>
              </w:rPr>
              <w:t>①是否按要求开展绩效自评工作并对所属单位自评进行了复核；②绩效自评报告报送及时；③绩效自评报告的综合评审等级；④绩效自评报告是否完整，数据是否全面、真实、准确，绩效指标是否细化量化和科学合理，绩效自评反映的问题是否具体，意见是否可行，自评发现的问题是否整改；</w:t>
            </w:r>
          </w:p>
        </w:tc>
        <w:tc>
          <w:tcPr>
            <w:tcW w:w="1681" w:type="pct"/>
            <w:tcMar>
              <w:top w:w="15" w:type="dxa"/>
              <w:left w:w="15" w:type="dxa"/>
              <w:right w:w="15" w:type="dxa"/>
            </w:tcMar>
            <w:vAlign w:val="center"/>
          </w:tcPr>
          <w:p>
            <w:pPr>
              <w:widowControl/>
              <w:textAlignment w:val="center"/>
              <w:rPr>
                <w:rFonts w:ascii="宋体" w:hAnsi="宋体" w:cs="宋体"/>
                <w:sz w:val="20"/>
                <w:szCs w:val="20"/>
              </w:rPr>
            </w:pPr>
            <w:r>
              <w:rPr>
                <w:rFonts w:hint="eastAsia" w:ascii="宋体" w:hAnsi="宋体" w:eastAsia="宋体" w:cs="宋体"/>
                <w:kern w:val="0"/>
                <w:sz w:val="20"/>
                <w:szCs w:val="20"/>
              </w:rPr>
              <w:t>根据市财政局对预算单位2020年自评考核结果，评审为优，计4分；评审为良，计3分；评审为中，计2分；评审为低，计1分；评审为差，计0分；</w:t>
            </w: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5" w:hRule="atLeast"/>
        </w:trPr>
        <w:tc>
          <w:tcPr>
            <w:tcW w:w="438" w:type="pct"/>
            <w:vMerge w:val="continue"/>
            <w:tcMar>
              <w:top w:w="15" w:type="dxa"/>
              <w:left w:w="15" w:type="dxa"/>
              <w:right w:w="15" w:type="dxa"/>
            </w:tcMar>
            <w:vAlign w:val="center"/>
          </w:tcPr>
          <w:p>
            <w:pPr>
              <w:jc w:val="center"/>
              <w:rPr>
                <w:rStyle w:val="12"/>
                <w:rFonts w:hint="default" w:ascii="Times New Roman" w:hAnsi="Times New Roman"/>
                <w:color w:val="auto"/>
                <w:sz w:val="20"/>
                <w:szCs w:val="20"/>
              </w:rPr>
            </w:pPr>
          </w:p>
        </w:tc>
        <w:tc>
          <w:tcPr>
            <w:tcW w:w="372" w:type="pct"/>
            <w:vMerge w:val="continue"/>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tc>
        <w:tc>
          <w:tcPr>
            <w:tcW w:w="419" w:type="pct"/>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kern w:val="0"/>
                <w:sz w:val="20"/>
                <w:szCs w:val="20"/>
              </w:rPr>
              <w:t>重点</w:t>
            </w:r>
          </w:p>
          <w:p>
            <w:pPr>
              <w:widowControl/>
              <w:jc w:val="center"/>
              <w:textAlignment w:val="center"/>
              <w:rPr>
                <w:rFonts w:ascii="宋体" w:hAnsi="宋体" w:cs="宋体"/>
                <w:kern w:val="0"/>
                <w:sz w:val="20"/>
                <w:szCs w:val="20"/>
              </w:rPr>
            </w:pPr>
            <w:r>
              <w:rPr>
                <w:rFonts w:hint="eastAsia" w:ascii="宋体" w:hAnsi="宋体" w:eastAsia="宋体" w:cs="宋体"/>
                <w:kern w:val="0"/>
                <w:sz w:val="20"/>
                <w:szCs w:val="20"/>
              </w:rPr>
              <w:t>绩效</w:t>
            </w:r>
          </w:p>
          <w:p>
            <w:pPr>
              <w:widowControl/>
              <w:jc w:val="center"/>
              <w:textAlignment w:val="center"/>
              <w:rPr>
                <w:rFonts w:ascii="宋体" w:hAnsi="宋体" w:cs="宋体"/>
                <w:kern w:val="0"/>
                <w:sz w:val="20"/>
                <w:szCs w:val="20"/>
              </w:rPr>
            </w:pPr>
            <w:r>
              <w:rPr>
                <w:rFonts w:hint="eastAsia" w:ascii="宋体" w:hAnsi="宋体" w:eastAsia="宋体" w:cs="宋体"/>
                <w:kern w:val="0"/>
                <w:sz w:val="20"/>
                <w:szCs w:val="20"/>
              </w:rPr>
              <w:t>评价</w:t>
            </w:r>
          </w:p>
          <w:p>
            <w:pPr>
              <w:widowControl/>
              <w:jc w:val="center"/>
              <w:textAlignment w:val="center"/>
              <w:rPr>
                <w:rFonts w:ascii="宋体" w:hAnsi="宋体" w:cs="宋体"/>
                <w:kern w:val="0"/>
                <w:sz w:val="20"/>
                <w:szCs w:val="20"/>
              </w:rPr>
            </w:pPr>
            <w:r>
              <w:rPr>
                <w:rFonts w:hint="eastAsia" w:ascii="宋体" w:hAnsi="宋体" w:eastAsia="宋体" w:cs="宋体"/>
                <w:kern w:val="0"/>
                <w:sz w:val="20"/>
                <w:szCs w:val="20"/>
              </w:rPr>
              <w:t>整改</w:t>
            </w:r>
          </w:p>
          <w:p>
            <w:pPr>
              <w:widowControl/>
              <w:jc w:val="center"/>
              <w:textAlignment w:val="center"/>
              <w:rPr>
                <w:rFonts w:ascii="宋体" w:hAnsi="宋体" w:cs="宋体"/>
                <w:sz w:val="20"/>
                <w:szCs w:val="20"/>
              </w:rPr>
            </w:pPr>
            <w:r>
              <w:rPr>
                <w:rFonts w:hint="eastAsia" w:ascii="宋体" w:hAnsi="宋体" w:eastAsia="宋体" w:cs="宋体"/>
                <w:kern w:val="0"/>
                <w:sz w:val="20"/>
                <w:szCs w:val="20"/>
              </w:rPr>
              <w:t>情况</w:t>
            </w:r>
          </w:p>
        </w:tc>
        <w:tc>
          <w:tcPr>
            <w:tcW w:w="385" w:type="pct"/>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kern w:val="0"/>
                <w:sz w:val="20"/>
                <w:szCs w:val="20"/>
              </w:rPr>
              <w:t>5</w:t>
            </w:r>
          </w:p>
        </w:tc>
        <w:tc>
          <w:tcPr>
            <w:tcW w:w="1315" w:type="pct"/>
            <w:tcMar>
              <w:top w:w="15" w:type="dxa"/>
              <w:left w:w="15" w:type="dxa"/>
              <w:right w:w="15" w:type="dxa"/>
            </w:tcMar>
            <w:vAlign w:val="center"/>
          </w:tcPr>
          <w:p>
            <w:pPr>
              <w:widowControl/>
              <w:jc w:val="left"/>
              <w:textAlignment w:val="center"/>
              <w:rPr>
                <w:rFonts w:ascii="宋体" w:hAnsi="宋体" w:cs="宋体"/>
                <w:sz w:val="20"/>
                <w:szCs w:val="20"/>
              </w:rPr>
            </w:pPr>
            <w:r>
              <w:rPr>
                <w:rFonts w:hint="eastAsia" w:ascii="宋体" w:hAnsi="宋体" w:eastAsia="宋体" w:cs="宋体"/>
                <w:kern w:val="0"/>
                <w:sz w:val="20"/>
                <w:szCs w:val="20"/>
              </w:rPr>
              <w:t>对上年度财政重点评价中存在的问题是否进行整改。</w:t>
            </w:r>
          </w:p>
        </w:tc>
        <w:tc>
          <w:tcPr>
            <w:tcW w:w="1681" w:type="pct"/>
            <w:tcMar>
              <w:top w:w="15" w:type="dxa"/>
              <w:left w:w="15" w:type="dxa"/>
              <w:right w:w="15" w:type="dxa"/>
            </w:tcMar>
            <w:vAlign w:val="center"/>
          </w:tcPr>
          <w:p>
            <w:pPr>
              <w:widowControl/>
              <w:textAlignment w:val="center"/>
              <w:rPr>
                <w:rFonts w:ascii="宋体" w:hAnsi="宋体" w:cs="宋体"/>
                <w:sz w:val="20"/>
                <w:szCs w:val="20"/>
              </w:rPr>
            </w:pPr>
            <w:r>
              <w:rPr>
                <w:rFonts w:hint="eastAsia" w:ascii="宋体" w:hAnsi="宋体" w:eastAsia="宋体" w:cs="宋体"/>
                <w:kern w:val="0"/>
                <w:sz w:val="20"/>
                <w:szCs w:val="20"/>
              </w:rPr>
              <w:t>2020年重点评价问题全部整改，计5分；2020年重点评价问题部分整改，计3分；2020年重点评价问题未整改且无整改情况说明的不计分。</w:t>
            </w: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2" w:hRule="atLeast"/>
        </w:trPr>
        <w:tc>
          <w:tcPr>
            <w:tcW w:w="438" w:type="pct"/>
            <w:vMerge w:val="continue"/>
            <w:tcMar>
              <w:top w:w="15" w:type="dxa"/>
              <w:left w:w="15" w:type="dxa"/>
              <w:right w:w="15" w:type="dxa"/>
            </w:tcMar>
            <w:vAlign w:val="center"/>
          </w:tcPr>
          <w:p>
            <w:pPr>
              <w:widowControl/>
              <w:jc w:val="center"/>
              <w:textAlignment w:val="center"/>
              <w:rPr>
                <w:sz w:val="20"/>
                <w:szCs w:val="20"/>
              </w:rPr>
            </w:pPr>
          </w:p>
        </w:tc>
        <w:tc>
          <w:tcPr>
            <w:tcW w:w="372" w:type="pct"/>
            <w:vMerge w:val="restar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资产</w:t>
            </w:r>
          </w:p>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管理</w:t>
            </w:r>
          </w:p>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w:t>
            </w:r>
            <w:r>
              <w:rPr>
                <w:rStyle w:val="15"/>
                <w:rFonts w:hint="eastAsia"/>
                <w:color w:val="auto"/>
                <w:sz w:val="20"/>
                <w:szCs w:val="20"/>
              </w:rPr>
              <w:t>9</w:t>
            </w:r>
            <w:r>
              <w:rPr>
                <w:rStyle w:val="12"/>
                <w:rFonts w:hint="default" w:ascii="Times New Roman" w:hAnsi="Times New Roman"/>
                <w:color w:val="auto"/>
                <w:sz w:val="20"/>
                <w:szCs w:val="20"/>
              </w:rPr>
              <w:t>分）</w:t>
            </w: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p>
            <w:pPr>
              <w:widowControl/>
              <w:jc w:val="center"/>
              <w:textAlignment w:val="center"/>
              <w:rPr>
                <w:rStyle w:val="12"/>
                <w:rFonts w:hint="default" w:ascii="Times New Roman" w:hAnsi="Times New Roman"/>
                <w:color w:val="auto"/>
                <w:sz w:val="20"/>
                <w:szCs w:val="20"/>
              </w:rPr>
            </w:pP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资产</w:t>
            </w:r>
          </w:p>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管理</w:t>
            </w:r>
          </w:p>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制度</w:t>
            </w:r>
          </w:p>
          <w:p>
            <w:pPr>
              <w:widowControl/>
              <w:jc w:val="center"/>
              <w:textAlignment w:val="center"/>
              <w:rPr>
                <w:sz w:val="20"/>
                <w:szCs w:val="20"/>
              </w:rPr>
            </w:pPr>
            <w:r>
              <w:rPr>
                <w:rStyle w:val="12"/>
                <w:rFonts w:hint="default" w:ascii="Times New Roman" w:hAnsi="Times New Roman"/>
                <w:color w:val="auto"/>
                <w:sz w:val="20"/>
                <w:szCs w:val="20"/>
              </w:rPr>
              <w:t>健全性</w:t>
            </w:r>
          </w:p>
        </w:tc>
        <w:tc>
          <w:tcPr>
            <w:tcW w:w="385" w:type="pct"/>
            <w:tcMar>
              <w:top w:w="15" w:type="dxa"/>
              <w:left w:w="15" w:type="dxa"/>
              <w:right w:w="15" w:type="dxa"/>
            </w:tcMar>
            <w:vAlign w:val="center"/>
          </w:tcPr>
          <w:p>
            <w:pPr>
              <w:widowControl/>
              <w:jc w:val="center"/>
              <w:textAlignment w:val="center"/>
              <w:rPr>
                <w:sz w:val="20"/>
                <w:szCs w:val="20"/>
              </w:rPr>
            </w:pPr>
            <w:r>
              <w:rPr>
                <w:rFonts w:hint="eastAsia"/>
                <w:kern w:val="0"/>
                <w:sz w:val="20"/>
                <w:szCs w:val="20"/>
              </w:rPr>
              <w:t>4</w:t>
            </w:r>
          </w:p>
        </w:tc>
        <w:tc>
          <w:tcPr>
            <w:tcW w:w="1315" w:type="pct"/>
            <w:tcMar>
              <w:top w:w="15" w:type="dxa"/>
              <w:left w:w="15" w:type="dxa"/>
              <w:right w:w="15" w:type="dxa"/>
            </w:tcMar>
            <w:vAlign w:val="center"/>
          </w:tcPr>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是否已制定合法、合规、完整的资产管理制度；</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相关资产管理制度是否得到有效执行；</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③</w:t>
            </w:r>
            <w:r>
              <w:rPr>
                <w:rStyle w:val="12"/>
                <w:rFonts w:hint="default" w:ascii="Times New Roman" w:hAnsi="Times New Roman"/>
                <w:color w:val="auto"/>
                <w:sz w:val="20"/>
                <w:szCs w:val="20"/>
              </w:rPr>
              <w:t>资产配置是否编制年度预算；</w:t>
            </w:r>
          </w:p>
          <w:p>
            <w:pPr>
              <w:widowControl/>
              <w:jc w:val="left"/>
              <w:textAlignment w:val="center"/>
              <w:rPr>
                <w:sz w:val="20"/>
                <w:szCs w:val="20"/>
              </w:rPr>
            </w:pPr>
            <w:r>
              <w:rPr>
                <w:rStyle w:val="12"/>
                <w:rFonts w:hint="default"/>
                <w:color w:val="auto"/>
                <w:sz w:val="20"/>
                <w:szCs w:val="20"/>
              </w:rPr>
              <w:t>④</w:t>
            </w:r>
            <w:r>
              <w:rPr>
                <w:rStyle w:val="12"/>
                <w:rFonts w:hint="default" w:ascii="Times New Roman" w:hAnsi="Times New Roman"/>
                <w:color w:val="auto"/>
                <w:sz w:val="20"/>
                <w:szCs w:val="20"/>
              </w:rPr>
              <w:t>资产配置预算实际执行情况。</w:t>
            </w:r>
          </w:p>
        </w:tc>
        <w:tc>
          <w:tcPr>
            <w:tcW w:w="1681" w:type="pct"/>
            <w:tcMar>
              <w:top w:w="15" w:type="dxa"/>
              <w:left w:w="15" w:type="dxa"/>
              <w:right w:w="15" w:type="dxa"/>
            </w:tcMar>
            <w:vAlign w:val="center"/>
          </w:tcPr>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已制定合法、合规、完整的资产管理制度，计</w:t>
            </w:r>
            <w:r>
              <w:rPr>
                <w:rStyle w:val="15"/>
                <w:color w:val="auto"/>
                <w:sz w:val="20"/>
                <w:szCs w:val="20"/>
              </w:rPr>
              <w:t>0.5</w:t>
            </w:r>
            <w:r>
              <w:rPr>
                <w:rStyle w:val="12"/>
                <w:rFonts w:hint="default" w:ascii="Times New Roman" w:hAnsi="Times New Roman"/>
                <w:color w:val="auto"/>
                <w:sz w:val="20"/>
                <w:szCs w:val="20"/>
              </w:rPr>
              <w:t>分，否则不得分；</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相关资产管理制度得到有效执行，计</w:t>
            </w:r>
            <w:r>
              <w:rPr>
                <w:rStyle w:val="15"/>
                <w:color w:val="auto"/>
                <w:sz w:val="20"/>
                <w:szCs w:val="20"/>
              </w:rPr>
              <w:t>0.5</w:t>
            </w:r>
            <w:r>
              <w:rPr>
                <w:rStyle w:val="12"/>
                <w:rFonts w:hint="default" w:ascii="Times New Roman" w:hAnsi="Times New Roman"/>
                <w:color w:val="auto"/>
                <w:sz w:val="20"/>
                <w:szCs w:val="20"/>
              </w:rPr>
              <w:t>分，否则，不得分；</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③</w:t>
            </w:r>
            <w:r>
              <w:rPr>
                <w:rStyle w:val="12"/>
                <w:rFonts w:hint="default" w:ascii="Times New Roman" w:hAnsi="Times New Roman"/>
                <w:color w:val="auto"/>
                <w:sz w:val="20"/>
                <w:szCs w:val="20"/>
              </w:rPr>
              <w:t>资产管理编制年度预算，计</w:t>
            </w:r>
            <w:r>
              <w:rPr>
                <w:rStyle w:val="15"/>
                <w:color w:val="auto"/>
                <w:sz w:val="20"/>
                <w:szCs w:val="20"/>
              </w:rPr>
              <w:t>0.5</w:t>
            </w:r>
            <w:r>
              <w:rPr>
                <w:rStyle w:val="12"/>
                <w:rFonts w:hint="default" w:ascii="Times New Roman" w:hAnsi="Times New Roman"/>
                <w:color w:val="auto"/>
                <w:sz w:val="20"/>
                <w:szCs w:val="20"/>
              </w:rPr>
              <w:t>分，未编制不得分；</w:t>
            </w:r>
          </w:p>
          <w:p>
            <w:pPr>
              <w:widowControl/>
              <w:textAlignment w:val="center"/>
              <w:rPr>
                <w:sz w:val="20"/>
                <w:szCs w:val="20"/>
              </w:rPr>
            </w:pPr>
            <w:r>
              <w:rPr>
                <w:rStyle w:val="12"/>
                <w:rFonts w:hint="default"/>
                <w:color w:val="auto"/>
                <w:sz w:val="20"/>
                <w:szCs w:val="20"/>
              </w:rPr>
              <w:t>④</w:t>
            </w:r>
            <w:r>
              <w:rPr>
                <w:rStyle w:val="12"/>
                <w:rFonts w:hint="default" w:ascii="Times New Roman" w:hAnsi="Times New Roman"/>
                <w:color w:val="auto"/>
                <w:sz w:val="20"/>
                <w:szCs w:val="20"/>
              </w:rPr>
              <w:t>资产配置预算实际执行情况未超年度预算（按程序审批除外），计</w:t>
            </w:r>
            <w:r>
              <w:rPr>
                <w:rStyle w:val="15"/>
                <w:color w:val="auto"/>
                <w:sz w:val="20"/>
                <w:szCs w:val="20"/>
              </w:rPr>
              <w:t>0.5</w:t>
            </w:r>
            <w:r>
              <w:rPr>
                <w:rStyle w:val="12"/>
                <w:rFonts w:hint="default" w:ascii="Times New Roman" w:hAnsi="Times New Roman"/>
                <w:color w:val="auto"/>
                <w:sz w:val="20"/>
                <w:szCs w:val="20"/>
              </w:rPr>
              <w:t>分，否则，不得分。</w:t>
            </w: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9" w:hRule="atLeast"/>
        </w:trPr>
        <w:tc>
          <w:tcPr>
            <w:tcW w:w="438" w:type="pct"/>
            <w:vMerge w:val="continue"/>
            <w:tcMar>
              <w:top w:w="15" w:type="dxa"/>
              <w:left w:w="15" w:type="dxa"/>
              <w:right w:w="15" w:type="dxa"/>
            </w:tcMar>
            <w:vAlign w:val="center"/>
          </w:tcPr>
          <w:p>
            <w:pPr>
              <w:jc w:val="center"/>
              <w:rPr>
                <w:sz w:val="20"/>
                <w:szCs w:val="20"/>
              </w:rPr>
            </w:pPr>
          </w:p>
        </w:tc>
        <w:tc>
          <w:tcPr>
            <w:tcW w:w="372" w:type="pct"/>
            <w:vMerge w:val="continue"/>
            <w:tcMar>
              <w:top w:w="15" w:type="dxa"/>
              <w:left w:w="15" w:type="dxa"/>
              <w:right w:w="15" w:type="dxa"/>
            </w:tcMar>
            <w:vAlign w:val="center"/>
          </w:tcPr>
          <w:p>
            <w:pPr>
              <w:jc w:val="center"/>
              <w:rPr>
                <w:sz w:val="20"/>
                <w:szCs w:val="20"/>
              </w:rPr>
            </w:pPr>
          </w:p>
        </w:tc>
        <w:tc>
          <w:tcPr>
            <w:tcW w:w="419" w:type="pct"/>
            <w:tcMar>
              <w:top w:w="15" w:type="dxa"/>
              <w:left w:w="15" w:type="dxa"/>
              <w:right w:w="15" w:type="dxa"/>
            </w:tcMar>
            <w:vAlign w:val="center"/>
          </w:tcPr>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资产管理</w:t>
            </w:r>
          </w:p>
          <w:p>
            <w:pPr>
              <w:widowControl/>
              <w:jc w:val="center"/>
              <w:textAlignment w:val="center"/>
              <w:rPr>
                <w:sz w:val="20"/>
                <w:szCs w:val="20"/>
              </w:rPr>
            </w:pPr>
            <w:r>
              <w:rPr>
                <w:rStyle w:val="12"/>
                <w:rFonts w:hint="default" w:ascii="Times New Roman" w:hAnsi="Times New Roman"/>
                <w:color w:val="auto"/>
                <w:sz w:val="20"/>
                <w:szCs w:val="20"/>
              </w:rPr>
              <w:t>安全性</w:t>
            </w:r>
          </w:p>
        </w:tc>
        <w:tc>
          <w:tcPr>
            <w:tcW w:w="385" w:type="pct"/>
            <w:tcMar>
              <w:top w:w="15" w:type="dxa"/>
              <w:left w:w="15" w:type="dxa"/>
              <w:right w:w="15" w:type="dxa"/>
            </w:tcMar>
            <w:vAlign w:val="center"/>
          </w:tcPr>
          <w:p>
            <w:pPr>
              <w:widowControl/>
              <w:jc w:val="center"/>
              <w:textAlignment w:val="center"/>
              <w:rPr>
                <w:sz w:val="20"/>
                <w:szCs w:val="20"/>
              </w:rPr>
            </w:pPr>
            <w:r>
              <w:rPr>
                <w:rFonts w:hint="eastAsia"/>
                <w:kern w:val="0"/>
                <w:sz w:val="20"/>
                <w:szCs w:val="20"/>
              </w:rPr>
              <w:t>3</w:t>
            </w:r>
          </w:p>
        </w:tc>
        <w:tc>
          <w:tcPr>
            <w:tcW w:w="1315" w:type="pct"/>
            <w:tcMar>
              <w:top w:w="15" w:type="dxa"/>
              <w:left w:w="15" w:type="dxa"/>
              <w:right w:w="15" w:type="dxa"/>
            </w:tcMar>
            <w:vAlign w:val="center"/>
          </w:tcPr>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资产保存是否完整并有台账；</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资产配置是否合理；</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③</w:t>
            </w:r>
            <w:r>
              <w:rPr>
                <w:rStyle w:val="12"/>
                <w:rFonts w:hint="default" w:ascii="Times New Roman" w:hAnsi="Times New Roman"/>
                <w:color w:val="auto"/>
                <w:sz w:val="20"/>
                <w:szCs w:val="20"/>
              </w:rPr>
              <w:t>资产处置是否规范；</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④</w:t>
            </w:r>
            <w:r>
              <w:rPr>
                <w:rStyle w:val="12"/>
                <w:rFonts w:hint="default" w:ascii="Times New Roman" w:hAnsi="Times New Roman"/>
                <w:color w:val="auto"/>
                <w:sz w:val="20"/>
                <w:szCs w:val="20"/>
              </w:rPr>
              <w:t>资产账务管理是否合规，是否</w:t>
            </w:r>
            <w:r>
              <w:rPr>
                <w:rStyle w:val="12"/>
                <w:rFonts w:hint="eastAsia" w:ascii="Times New Roman" w:hAnsi="Times New Roman" w:eastAsia="宋体"/>
                <w:color w:val="auto"/>
                <w:sz w:val="20"/>
                <w:szCs w:val="20"/>
                <w:lang w:eastAsia="zh-CN"/>
              </w:rPr>
              <w:t>账</w:t>
            </w:r>
            <w:r>
              <w:rPr>
                <w:rStyle w:val="12"/>
                <w:rFonts w:hint="default" w:ascii="Times New Roman" w:hAnsi="Times New Roman"/>
                <w:color w:val="auto"/>
                <w:sz w:val="20"/>
                <w:szCs w:val="20"/>
              </w:rPr>
              <w:t>实相符；</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⑤</w:t>
            </w:r>
            <w:r>
              <w:rPr>
                <w:rStyle w:val="12"/>
                <w:rFonts w:hint="default" w:ascii="Times New Roman" w:hAnsi="Times New Roman"/>
                <w:color w:val="auto"/>
                <w:sz w:val="20"/>
                <w:szCs w:val="20"/>
              </w:rPr>
              <w:t>资产是否有偿使用或处置收入及时足额上缴；</w:t>
            </w:r>
          </w:p>
          <w:p>
            <w:pPr>
              <w:widowControl/>
              <w:jc w:val="left"/>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⑥</w:t>
            </w:r>
            <w:r>
              <w:rPr>
                <w:rStyle w:val="12"/>
                <w:rFonts w:hint="default" w:ascii="Times New Roman" w:hAnsi="Times New Roman"/>
                <w:color w:val="auto"/>
                <w:sz w:val="20"/>
                <w:szCs w:val="20"/>
              </w:rPr>
              <w:t>相关资产购置是否履行政府采购手续；</w:t>
            </w:r>
          </w:p>
          <w:p>
            <w:pPr>
              <w:widowControl/>
              <w:jc w:val="left"/>
              <w:textAlignment w:val="center"/>
              <w:rPr>
                <w:sz w:val="20"/>
                <w:szCs w:val="20"/>
              </w:rPr>
            </w:pPr>
            <w:r>
              <w:rPr>
                <w:rStyle w:val="12"/>
                <w:rFonts w:hint="default"/>
                <w:color w:val="auto"/>
                <w:sz w:val="20"/>
                <w:szCs w:val="20"/>
              </w:rPr>
              <w:t>⑦</w:t>
            </w:r>
            <w:r>
              <w:rPr>
                <w:rStyle w:val="12"/>
                <w:rFonts w:hint="default" w:ascii="Times New Roman" w:hAnsi="Times New Roman"/>
                <w:color w:val="auto"/>
                <w:sz w:val="20"/>
                <w:szCs w:val="20"/>
              </w:rPr>
              <w:t>资产是否定期进行盘点并有记录。</w:t>
            </w:r>
          </w:p>
        </w:tc>
        <w:tc>
          <w:tcPr>
            <w:tcW w:w="1681" w:type="pct"/>
            <w:tcMar>
              <w:top w:w="15" w:type="dxa"/>
              <w:left w:w="15" w:type="dxa"/>
              <w:right w:w="15" w:type="dxa"/>
            </w:tcMar>
            <w:vAlign w:val="center"/>
          </w:tcPr>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①</w:t>
            </w:r>
            <w:r>
              <w:rPr>
                <w:rStyle w:val="12"/>
                <w:rFonts w:hint="default" w:ascii="Times New Roman" w:hAnsi="Times New Roman"/>
                <w:color w:val="auto"/>
                <w:sz w:val="20"/>
                <w:szCs w:val="20"/>
              </w:rPr>
              <w:t>资产配置合理符合标准、保管完整，账务管理规范，定期盘点并有台账，账实相符的，计</w:t>
            </w:r>
            <w:r>
              <w:rPr>
                <w:rStyle w:val="15"/>
                <w:color w:val="auto"/>
                <w:sz w:val="20"/>
                <w:szCs w:val="20"/>
              </w:rPr>
              <w:t>0.5</w:t>
            </w:r>
            <w:r>
              <w:rPr>
                <w:rStyle w:val="12"/>
                <w:rFonts w:hint="default" w:ascii="Times New Roman" w:hAnsi="Times New Roman"/>
                <w:color w:val="auto"/>
                <w:sz w:val="20"/>
                <w:szCs w:val="20"/>
              </w:rPr>
              <w:t>分，发现一例不符，扣</w:t>
            </w:r>
            <w:r>
              <w:rPr>
                <w:rStyle w:val="15"/>
                <w:color w:val="auto"/>
                <w:sz w:val="20"/>
                <w:szCs w:val="20"/>
              </w:rPr>
              <w:t>0.1</w:t>
            </w:r>
            <w:r>
              <w:rPr>
                <w:rStyle w:val="12"/>
                <w:rFonts w:hint="default" w:ascii="Times New Roman" w:hAnsi="Times New Roman"/>
                <w:color w:val="auto"/>
                <w:sz w:val="20"/>
                <w:szCs w:val="20"/>
              </w:rPr>
              <w:t>分，扣完为止；</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②</w:t>
            </w:r>
            <w:r>
              <w:rPr>
                <w:rStyle w:val="12"/>
                <w:rFonts w:hint="default" w:ascii="Times New Roman" w:hAnsi="Times New Roman"/>
                <w:color w:val="auto"/>
                <w:sz w:val="20"/>
                <w:szCs w:val="20"/>
              </w:rPr>
              <w:t>资产处置规范，计0.5分，发现一例不符，扣0.1分，扣完为止；</w:t>
            </w:r>
          </w:p>
          <w:p>
            <w:pPr>
              <w:widowControl/>
              <w:textAlignment w:val="center"/>
              <w:rPr>
                <w:rStyle w:val="12"/>
                <w:rFonts w:hint="eastAsia" w:ascii="Times New Roman" w:hAnsi="Times New Roman" w:eastAsia="宋体"/>
                <w:color w:val="auto"/>
                <w:sz w:val="20"/>
                <w:szCs w:val="20"/>
                <w:lang w:eastAsia="zh-CN"/>
              </w:rPr>
            </w:pPr>
            <w:r>
              <w:rPr>
                <w:rStyle w:val="12"/>
                <w:rFonts w:hint="default"/>
                <w:color w:val="auto"/>
                <w:sz w:val="20"/>
                <w:szCs w:val="20"/>
              </w:rPr>
              <w:t>③</w:t>
            </w:r>
            <w:r>
              <w:rPr>
                <w:rStyle w:val="12"/>
                <w:rFonts w:hint="default" w:ascii="Times New Roman" w:hAnsi="Times New Roman"/>
                <w:color w:val="auto"/>
                <w:sz w:val="20"/>
                <w:szCs w:val="20"/>
              </w:rPr>
              <w:t>资产有偿使用或处置收入及时足额上缴，计0.5分，发现未上缴，本项不得分；</w:t>
            </w:r>
          </w:p>
          <w:p>
            <w:pPr>
              <w:widowControl/>
              <w:textAlignment w:val="center"/>
              <w:rPr>
                <w:sz w:val="20"/>
                <w:szCs w:val="20"/>
              </w:rPr>
            </w:pPr>
            <w:r>
              <w:rPr>
                <w:rStyle w:val="12"/>
                <w:rFonts w:hint="default"/>
                <w:color w:val="auto"/>
                <w:sz w:val="20"/>
                <w:szCs w:val="20"/>
              </w:rPr>
              <w:t>④</w:t>
            </w:r>
            <w:r>
              <w:rPr>
                <w:rStyle w:val="12"/>
                <w:rFonts w:hint="default" w:ascii="Times New Roman" w:hAnsi="Times New Roman"/>
                <w:color w:val="auto"/>
                <w:sz w:val="20"/>
                <w:szCs w:val="20"/>
              </w:rPr>
              <w:t>资产购置履行政府采购手续，计0.5分，发现一例不符，扣0.1分，扣完为止。</w:t>
            </w:r>
          </w:p>
        </w:tc>
        <w:tc>
          <w:tcPr>
            <w:tcW w:w="390" w:type="pct"/>
            <w:tcMar>
              <w:top w:w="15" w:type="dxa"/>
              <w:left w:w="15" w:type="dxa"/>
              <w:right w:w="15" w:type="dxa"/>
            </w:tcMar>
            <w:vAlign w:val="center"/>
          </w:tcPr>
          <w:p>
            <w:pPr>
              <w:widowControl/>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1" w:hRule="atLeast"/>
        </w:trPr>
        <w:tc>
          <w:tcPr>
            <w:tcW w:w="438" w:type="pct"/>
            <w:vMerge w:val="continue"/>
            <w:tcMar>
              <w:top w:w="15" w:type="dxa"/>
              <w:left w:w="15" w:type="dxa"/>
              <w:right w:w="15" w:type="dxa"/>
            </w:tcMar>
            <w:vAlign w:val="center"/>
          </w:tcPr>
          <w:p>
            <w:pPr>
              <w:jc w:val="center"/>
              <w:rPr>
                <w:sz w:val="20"/>
                <w:szCs w:val="20"/>
              </w:rPr>
            </w:pPr>
          </w:p>
        </w:tc>
        <w:tc>
          <w:tcPr>
            <w:tcW w:w="372" w:type="pct"/>
            <w:vMerge w:val="continue"/>
            <w:tcMar>
              <w:top w:w="15" w:type="dxa"/>
              <w:left w:w="15" w:type="dxa"/>
              <w:right w:w="15" w:type="dxa"/>
            </w:tcMar>
            <w:vAlign w:val="center"/>
          </w:tcPr>
          <w:p>
            <w:pPr>
              <w:jc w:val="center"/>
              <w:rPr>
                <w:sz w:val="20"/>
                <w:szCs w:val="20"/>
              </w:rPr>
            </w:pPr>
          </w:p>
        </w:tc>
        <w:tc>
          <w:tcPr>
            <w:tcW w:w="419" w:type="pct"/>
            <w:tcMar>
              <w:top w:w="15" w:type="dxa"/>
              <w:left w:w="15" w:type="dxa"/>
              <w:right w:w="15" w:type="dxa"/>
            </w:tcMar>
            <w:vAlign w:val="center"/>
          </w:tcPr>
          <w:p>
            <w:pPr>
              <w:widowControl/>
              <w:jc w:val="center"/>
              <w:textAlignment w:val="center"/>
              <w:rPr>
                <w:rStyle w:val="12"/>
                <w:rFonts w:hint="eastAsia" w:ascii="Times New Roman" w:hAnsi="Times New Roman" w:eastAsia="宋体"/>
                <w:color w:val="auto"/>
                <w:sz w:val="20"/>
                <w:szCs w:val="20"/>
                <w:lang w:eastAsia="zh-CN"/>
              </w:rPr>
            </w:pPr>
            <w:r>
              <w:rPr>
                <w:rStyle w:val="12"/>
                <w:rFonts w:hint="default" w:ascii="Times New Roman" w:hAnsi="Times New Roman"/>
                <w:color w:val="auto"/>
                <w:sz w:val="20"/>
                <w:szCs w:val="20"/>
              </w:rPr>
              <w:t>固定资产</w:t>
            </w:r>
          </w:p>
          <w:p>
            <w:pPr>
              <w:widowControl/>
              <w:jc w:val="center"/>
              <w:textAlignment w:val="center"/>
              <w:rPr>
                <w:sz w:val="20"/>
                <w:szCs w:val="20"/>
              </w:rPr>
            </w:pPr>
            <w:r>
              <w:rPr>
                <w:rStyle w:val="12"/>
                <w:rFonts w:hint="default" w:ascii="Times New Roman" w:hAnsi="Times New Roman"/>
                <w:color w:val="auto"/>
                <w:sz w:val="20"/>
                <w:szCs w:val="20"/>
              </w:rPr>
              <w:t>保管和使用情况</w:t>
            </w:r>
          </w:p>
        </w:tc>
        <w:tc>
          <w:tcPr>
            <w:tcW w:w="385" w:type="pct"/>
            <w:tcMar>
              <w:top w:w="15" w:type="dxa"/>
              <w:left w:w="15" w:type="dxa"/>
              <w:right w:w="15" w:type="dxa"/>
            </w:tcMar>
            <w:vAlign w:val="center"/>
          </w:tcPr>
          <w:p>
            <w:pPr>
              <w:widowControl/>
              <w:jc w:val="center"/>
              <w:textAlignment w:val="center"/>
              <w:rPr>
                <w:sz w:val="20"/>
                <w:szCs w:val="20"/>
              </w:rPr>
            </w:pPr>
            <w:r>
              <w:rPr>
                <w:rFonts w:hint="eastAsia"/>
                <w:kern w:val="0"/>
                <w:sz w:val="20"/>
                <w:szCs w:val="20"/>
              </w:rPr>
              <w:t>2</w:t>
            </w:r>
          </w:p>
        </w:tc>
        <w:tc>
          <w:tcPr>
            <w:tcW w:w="1315" w:type="pct"/>
            <w:tcMar>
              <w:top w:w="15" w:type="dxa"/>
              <w:left w:w="15" w:type="dxa"/>
              <w:right w:w="15" w:type="dxa"/>
            </w:tcMar>
            <w:vAlign w:val="center"/>
          </w:tcPr>
          <w:p>
            <w:pPr>
              <w:widowControl/>
              <w:jc w:val="left"/>
              <w:textAlignment w:val="center"/>
              <w:rPr>
                <w:rFonts w:hint="eastAsia" w:eastAsiaTheme="minorEastAsia"/>
                <w:kern w:val="0"/>
                <w:sz w:val="20"/>
                <w:szCs w:val="20"/>
                <w:lang w:eastAsia="zh-CN"/>
              </w:rPr>
            </w:pPr>
            <w:r>
              <w:rPr>
                <w:kern w:val="0"/>
                <w:sz w:val="20"/>
                <w:szCs w:val="20"/>
              </w:rPr>
              <w:t>①是否建立固定资产台账，实行编码管理；</w:t>
            </w:r>
          </w:p>
          <w:p>
            <w:pPr>
              <w:widowControl/>
              <w:jc w:val="left"/>
              <w:textAlignment w:val="center"/>
              <w:rPr>
                <w:sz w:val="20"/>
                <w:szCs w:val="20"/>
              </w:rPr>
            </w:pPr>
            <w:r>
              <w:rPr>
                <w:kern w:val="0"/>
                <w:sz w:val="20"/>
                <w:szCs w:val="20"/>
              </w:rPr>
              <w:t>②固定资产增减变化是否建立审批程序</w:t>
            </w:r>
            <w:r>
              <w:rPr>
                <w:rStyle w:val="12"/>
                <w:rFonts w:hint="default" w:ascii="Times New Roman" w:hAnsi="Times New Roman"/>
                <w:color w:val="auto"/>
                <w:sz w:val="20"/>
                <w:szCs w:val="20"/>
              </w:rPr>
              <w:t>。</w:t>
            </w:r>
          </w:p>
        </w:tc>
        <w:tc>
          <w:tcPr>
            <w:tcW w:w="1681" w:type="pct"/>
            <w:tcMar>
              <w:top w:w="15" w:type="dxa"/>
              <w:left w:w="15" w:type="dxa"/>
              <w:right w:w="15" w:type="dxa"/>
            </w:tcMar>
            <w:vAlign w:val="center"/>
          </w:tcPr>
          <w:p>
            <w:pPr>
              <w:widowControl/>
              <w:textAlignment w:val="center"/>
              <w:rPr>
                <w:sz w:val="20"/>
                <w:szCs w:val="20"/>
              </w:rPr>
            </w:pPr>
            <w:r>
              <w:rPr>
                <w:kern w:val="0"/>
                <w:sz w:val="20"/>
                <w:szCs w:val="20"/>
              </w:rPr>
              <w:t>建了固定资产台账实行编码管理的计</w:t>
            </w:r>
            <w:r>
              <w:rPr>
                <w:rFonts w:hint="eastAsia"/>
                <w:kern w:val="0"/>
                <w:sz w:val="20"/>
                <w:szCs w:val="20"/>
              </w:rPr>
              <w:t>1</w:t>
            </w:r>
            <w:r>
              <w:rPr>
                <w:kern w:val="0"/>
                <w:sz w:val="20"/>
                <w:szCs w:val="20"/>
              </w:rPr>
              <w:t>分；建立了固定资产增减变化审批程序的计</w:t>
            </w:r>
            <w:r>
              <w:rPr>
                <w:rFonts w:hint="eastAsia"/>
                <w:kern w:val="0"/>
                <w:sz w:val="20"/>
                <w:szCs w:val="20"/>
              </w:rPr>
              <w:t>1</w:t>
            </w:r>
            <w:r>
              <w:rPr>
                <w:kern w:val="0"/>
                <w:sz w:val="20"/>
                <w:szCs w:val="20"/>
              </w:rPr>
              <w:t>分，否则不得分。</w:t>
            </w:r>
          </w:p>
        </w:tc>
        <w:tc>
          <w:tcPr>
            <w:tcW w:w="390" w:type="pct"/>
            <w:tcMar>
              <w:top w:w="15" w:type="dxa"/>
              <w:left w:w="15" w:type="dxa"/>
              <w:right w:w="15" w:type="dxa"/>
            </w:tcMar>
            <w:vAlign w:val="center"/>
          </w:tcPr>
          <w:p>
            <w:pPr>
              <w:widowControl/>
              <w:textAlignment w:val="center"/>
              <w:rPr>
                <w:kern w:val="0"/>
                <w:sz w:val="20"/>
                <w:szCs w:val="20"/>
              </w:rPr>
            </w:pPr>
            <w:r>
              <w:rPr>
                <w:rFonts w:hint="eastAsia"/>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8" w:hRule="atLeast"/>
        </w:trPr>
        <w:tc>
          <w:tcPr>
            <w:tcW w:w="438" w:type="pct"/>
            <w:vMerge w:val="restart"/>
            <w:tcMar>
              <w:top w:w="15" w:type="dxa"/>
              <w:left w:w="15" w:type="dxa"/>
              <w:right w:w="15" w:type="dxa"/>
            </w:tcMar>
            <w:vAlign w:val="center"/>
          </w:tcPr>
          <w:p>
            <w:pPr>
              <w:jc w:val="center"/>
              <w:rPr>
                <w:sz w:val="20"/>
                <w:szCs w:val="20"/>
              </w:rPr>
            </w:pPr>
            <w:r>
              <w:rPr>
                <w:sz w:val="20"/>
                <w:szCs w:val="20"/>
              </w:rPr>
              <w:t>产出</w:t>
            </w:r>
          </w:p>
          <w:p>
            <w:pPr>
              <w:jc w:val="center"/>
              <w:rPr>
                <w:sz w:val="20"/>
                <w:szCs w:val="20"/>
              </w:rPr>
            </w:pPr>
            <w:r>
              <w:rPr>
                <w:sz w:val="20"/>
                <w:szCs w:val="20"/>
              </w:rPr>
              <w:t>（25分）</w:t>
            </w:r>
          </w:p>
          <w:p>
            <w:pPr>
              <w:jc w:val="center"/>
              <w:rPr>
                <w:sz w:val="20"/>
                <w:szCs w:val="20"/>
              </w:rPr>
            </w:pPr>
          </w:p>
          <w:p>
            <w:pPr>
              <w:jc w:val="center"/>
              <w:rPr>
                <w:sz w:val="20"/>
                <w:szCs w:val="20"/>
              </w:rPr>
            </w:pPr>
          </w:p>
        </w:tc>
        <w:tc>
          <w:tcPr>
            <w:tcW w:w="372"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实际</w:t>
            </w:r>
          </w:p>
          <w:p>
            <w:pPr>
              <w:jc w:val="center"/>
              <w:rPr>
                <w:sz w:val="20"/>
                <w:szCs w:val="20"/>
              </w:rPr>
            </w:pPr>
            <w:r>
              <w:rPr>
                <w:rStyle w:val="12"/>
                <w:rFonts w:hint="default" w:ascii="Times New Roman" w:hAnsi="Times New Roman"/>
                <w:color w:val="auto"/>
                <w:sz w:val="20"/>
                <w:szCs w:val="20"/>
              </w:rPr>
              <w:t>完成率</w:t>
            </w: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tc>
        <w:tc>
          <w:tcPr>
            <w:tcW w:w="385" w:type="pct"/>
            <w:tcMar>
              <w:top w:w="15" w:type="dxa"/>
              <w:left w:w="15" w:type="dxa"/>
              <w:right w:w="15" w:type="dxa"/>
            </w:tcMar>
            <w:vAlign w:val="center"/>
          </w:tcPr>
          <w:p>
            <w:pPr>
              <w:widowControl/>
              <w:jc w:val="center"/>
              <w:textAlignment w:val="center"/>
              <w:rPr>
                <w:kern w:val="0"/>
                <w:sz w:val="20"/>
                <w:szCs w:val="20"/>
              </w:rPr>
            </w:pPr>
            <w:r>
              <w:rPr>
                <w:rFonts w:hint="eastAsia"/>
                <w:kern w:val="0"/>
                <w:sz w:val="20"/>
                <w:szCs w:val="20"/>
              </w:rPr>
              <w:t>6</w:t>
            </w:r>
          </w:p>
        </w:tc>
        <w:tc>
          <w:tcPr>
            <w:tcW w:w="1315" w:type="pct"/>
            <w:tcMar>
              <w:top w:w="15" w:type="dxa"/>
              <w:left w:w="15" w:type="dxa"/>
              <w:right w:w="15" w:type="dxa"/>
            </w:tcMar>
            <w:vAlign w:val="center"/>
          </w:tcPr>
          <w:p>
            <w:pPr>
              <w:widowControl/>
              <w:jc w:val="left"/>
              <w:textAlignment w:val="center"/>
              <w:rPr>
                <w:kern w:val="0"/>
                <w:sz w:val="20"/>
                <w:szCs w:val="20"/>
              </w:rPr>
            </w:pPr>
            <w:r>
              <w:rPr>
                <w:kern w:val="0"/>
                <w:sz w:val="20"/>
                <w:szCs w:val="20"/>
              </w:rPr>
              <w:t>部门履行职责而实际完成的工作数与计划工作数的比率，用以反映和考核部门履职工作任务目标的实现程度。</w:t>
            </w:r>
          </w:p>
        </w:tc>
        <w:tc>
          <w:tcPr>
            <w:tcW w:w="1681" w:type="pct"/>
            <w:tcMar>
              <w:top w:w="15" w:type="dxa"/>
              <w:left w:w="15" w:type="dxa"/>
              <w:right w:w="15" w:type="dxa"/>
            </w:tcMar>
            <w:vAlign w:val="center"/>
          </w:tcPr>
          <w:p>
            <w:pPr>
              <w:widowControl/>
              <w:textAlignment w:val="center"/>
              <w:rPr>
                <w:kern w:val="0"/>
                <w:sz w:val="20"/>
                <w:szCs w:val="20"/>
              </w:rPr>
            </w:pPr>
            <w:r>
              <w:rPr>
                <w:kern w:val="0"/>
                <w:sz w:val="20"/>
                <w:szCs w:val="20"/>
              </w:rPr>
              <w:t>实际完成率=（实际完成工作数/计划工作数）*100%。实际完成工作数：一定时期（年度或规划期）内部门实际完成工作任务的数量。</w:t>
            </w:r>
          </w:p>
          <w:p>
            <w:pPr>
              <w:widowControl/>
              <w:textAlignment w:val="center"/>
              <w:rPr>
                <w:kern w:val="0"/>
                <w:sz w:val="20"/>
                <w:szCs w:val="20"/>
              </w:rPr>
            </w:pPr>
            <w:r>
              <w:rPr>
                <w:kern w:val="0"/>
                <w:sz w:val="20"/>
                <w:szCs w:val="20"/>
              </w:rPr>
              <w:t>计划工作数：部门整体绩效目标确定的一定时期（年度或规划期）内预计完成工作任务的数量。</w:t>
            </w:r>
          </w:p>
        </w:tc>
        <w:tc>
          <w:tcPr>
            <w:tcW w:w="390" w:type="pct"/>
            <w:tcMar>
              <w:top w:w="15" w:type="dxa"/>
              <w:left w:w="15" w:type="dxa"/>
              <w:right w:w="15" w:type="dxa"/>
            </w:tcMar>
            <w:vAlign w:val="center"/>
          </w:tcPr>
          <w:p>
            <w:pPr>
              <w:widowControl/>
              <w:textAlignment w:val="center"/>
              <w:rPr>
                <w:kern w:val="0"/>
                <w:sz w:val="20"/>
                <w:szCs w:val="20"/>
              </w:rPr>
            </w:pPr>
            <w:r>
              <w:rPr>
                <w:rFonts w:hint="eastAsia"/>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38" w:type="pct"/>
            <w:vMerge w:val="continue"/>
            <w:tcMar>
              <w:top w:w="15" w:type="dxa"/>
              <w:left w:w="15" w:type="dxa"/>
              <w:right w:w="15" w:type="dxa"/>
            </w:tcMar>
            <w:vAlign w:val="center"/>
          </w:tcPr>
          <w:p>
            <w:pPr>
              <w:jc w:val="center"/>
              <w:rPr>
                <w:sz w:val="20"/>
                <w:szCs w:val="20"/>
              </w:rPr>
            </w:pPr>
          </w:p>
        </w:tc>
        <w:tc>
          <w:tcPr>
            <w:tcW w:w="372"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完成</w:t>
            </w:r>
          </w:p>
          <w:p>
            <w:pPr>
              <w:widowControl/>
              <w:jc w:val="center"/>
              <w:textAlignment w:val="center"/>
              <w:rPr>
                <w:rFonts w:ascii="Times New Roman" w:hAnsi="Times New Roman" w:cs="宋体"/>
                <w:sz w:val="20"/>
                <w:szCs w:val="20"/>
              </w:rPr>
            </w:pPr>
            <w:r>
              <w:rPr>
                <w:rStyle w:val="12"/>
                <w:rFonts w:hint="default" w:ascii="Times New Roman" w:hAnsi="Times New Roman"/>
                <w:color w:val="auto"/>
                <w:sz w:val="20"/>
                <w:szCs w:val="20"/>
              </w:rPr>
              <w:t>及时性</w:t>
            </w: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tc>
        <w:tc>
          <w:tcPr>
            <w:tcW w:w="385" w:type="pct"/>
            <w:tcMar>
              <w:top w:w="15" w:type="dxa"/>
              <w:left w:w="15" w:type="dxa"/>
              <w:right w:w="15" w:type="dxa"/>
            </w:tcMar>
            <w:vAlign w:val="center"/>
          </w:tcPr>
          <w:p>
            <w:pPr>
              <w:widowControl/>
              <w:jc w:val="center"/>
              <w:textAlignment w:val="center"/>
              <w:rPr>
                <w:kern w:val="0"/>
                <w:sz w:val="20"/>
                <w:szCs w:val="20"/>
              </w:rPr>
            </w:pPr>
            <w:r>
              <w:rPr>
                <w:rFonts w:hint="eastAsia"/>
                <w:kern w:val="0"/>
                <w:sz w:val="20"/>
                <w:szCs w:val="20"/>
              </w:rPr>
              <w:t>6</w:t>
            </w:r>
          </w:p>
        </w:tc>
        <w:tc>
          <w:tcPr>
            <w:tcW w:w="1315" w:type="pct"/>
            <w:tcMar>
              <w:top w:w="15" w:type="dxa"/>
              <w:left w:w="15" w:type="dxa"/>
              <w:right w:w="15" w:type="dxa"/>
            </w:tcMar>
            <w:vAlign w:val="center"/>
          </w:tcPr>
          <w:p>
            <w:pPr>
              <w:widowControl/>
              <w:jc w:val="left"/>
              <w:textAlignment w:val="center"/>
              <w:rPr>
                <w:kern w:val="0"/>
                <w:sz w:val="20"/>
                <w:szCs w:val="20"/>
              </w:rPr>
            </w:pPr>
            <w:r>
              <w:rPr>
                <w:kern w:val="0"/>
                <w:sz w:val="20"/>
                <w:szCs w:val="20"/>
              </w:rPr>
              <w:t>部门在规定时限内及时完成的实际工作数与计划工作数的比率，用以反映和考核部门履职实效目标的实现程度。</w:t>
            </w:r>
          </w:p>
        </w:tc>
        <w:tc>
          <w:tcPr>
            <w:tcW w:w="1681" w:type="pct"/>
            <w:tcMar>
              <w:top w:w="15" w:type="dxa"/>
              <w:left w:w="15" w:type="dxa"/>
              <w:right w:w="15" w:type="dxa"/>
            </w:tcMar>
            <w:vAlign w:val="center"/>
          </w:tcPr>
          <w:p>
            <w:pPr>
              <w:widowControl/>
              <w:textAlignment w:val="center"/>
              <w:rPr>
                <w:kern w:val="0"/>
                <w:sz w:val="20"/>
                <w:szCs w:val="20"/>
              </w:rPr>
            </w:pPr>
            <w:r>
              <w:rPr>
                <w:kern w:val="0"/>
                <w:sz w:val="20"/>
                <w:szCs w:val="20"/>
              </w:rPr>
              <w:t>完成及时率=（及时完成实际工作数/计划工作数）*100%。及时完成工作数：部门按照整体绩效目标确定的时限实际完成的工作任务数量。</w:t>
            </w:r>
          </w:p>
        </w:tc>
        <w:tc>
          <w:tcPr>
            <w:tcW w:w="390" w:type="pct"/>
            <w:tcMar>
              <w:top w:w="15" w:type="dxa"/>
              <w:left w:w="15" w:type="dxa"/>
              <w:right w:w="15" w:type="dxa"/>
            </w:tcMar>
            <w:vAlign w:val="center"/>
          </w:tcPr>
          <w:p>
            <w:pPr>
              <w:widowControl/>
              <w:textAlignment w:val="center"/>
              <w:rPr>
                <w:kern w:val="0"/>
                <w:sz w:val="20"/>
                <w:szCs w:val="20"/>
              </w:rPr>
            </w:pPr>
            <w:r>
              <w:rPr>
                <w:rFonts w:hint="eastAsia"/>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8" w:hRule="atLeast"/>
        </w:trPr>
        <w:tc>
          <w:tcPr>
            <w:tcW w:w="438" w:type="pct"/>
            <w:vMerge w:val="continue"/>
            <w:tcMar>
              <w:top w:w="15" w:type="dxa"/>
              <w:left w:w="15" w:type="dxa"/>
              <w:right w:w="15" w:type="dxa"/>
            </w:tcMar>
            <w:vAlign w:val="center"/>
          </w:tcPr>
          <w:p>
            <w:pPr>
              <w:jc w:val="center"/>
              <w:rPr>
                <w:sz w:val="20"/>
                <w:szCs w:val="20"/>
              </w:rPr>
            </w:pPr>
          </w:p>
        </w:tc>
        <w:tc>
          <w:tcPr>
            <w:tcW w:w="372"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质量</w:t>
            </w:r>
          </w:p>
          <w:p>
            <w:pPr>
              <w:widowControl/>
              <w:jc w:val="center"/>
              <w:textAlignment w:val="center"/>
              <w:rPr>
                <w:rFonts w:ascii="Times New Roman" w:hAnsi="Times New Roman" w:cs="宋体"/>
                <w:sz w:val="20"/>
                <w:szCs w:val="20"/>
              </w:rPr>
            </w:pPr>
            <w:r>
              <w:rPr>
                <w:rStyle w:val="12"/>
                <w:rFonts w:hint="default" w:ascii="Times New Roman" w:hAnsi="Times New Roman"/>
                <w:color w:val="auto"/>
                <w:sz w:val="20"/>
                <w:szCs w:val="20"/>
              </w:rPr>
              <w:t>达标率</w:t>
            </w: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tc>
        <w:tc>
          <w:tcPr>
            <w:tcW w:w="385" w:type="pct"/>
            <w:tcMar>
              <w:top w:w="15" w:type="dxa"/>
              <w:left w:w="15" w:type="dxa"/>
              <w:right w:w="15" w:type="dxa"/>
            </w:tcMar>
            <w:vAlign w:val="center"/>
          </w:tcPr>
          <w:p>
            <w:pPr>
              <w:widowControl/>
              <w:jc w:val="center"/>
              <w:textAlignment w:val="center"/>
              <w:rPr>
                <w:kern w:val="0"/>
                <w:sz w:val="20"/>
                <w:szCs w:val="20"/>
              </w:rPr>
            </w:pPr>
            <w:r>
              <w:rPr>
                <w:rFonts w:hint="eastAsia"/>
                <w:kern w:val="0"/>
                <w:sz w:val="20"/>
                <w:szCs w:val="20"/>
              </w:rPr>
              <w:t>6</w:t>
            </w:r>
          </w:p>
        </w:tc>
        <w:tc>
          <w:tcPr>
            <w:tcW w:w="1315" w:type="pct"/>
            <w:tcMar>
              <w:top w:w="15" w:type="dxa"/>
              <w:left w:w="15" w:type="dxa"/>
              <w:right w:w="15" w:type="dxa"/>
            </w:tcMar>
            <w:vAlign w:val="center"/>
          </w:tcPr>
          <w:p>
            <w:pPr>
              <w:widowControl/>
              <w:jc w:val="left"/>
              <w:textAlignment w:val="center"/>
              <w:rPr>
                <w:kern w:val="0"/>
                <w:sz w:val="20"/>
                <w:szCs w:val="20"/>
              </w:rPr>
            </w:pPr>
            <w:r>
              <w:rPr>
                <w:kern w:val="0"/>
                <w:sz w:val="20"/>
                <w:szCs w:val="20"/>
              </w:rPr>
              <w:t>达到质量标准（绩效标准值）的实际工作数与计划工作数的比率，用以反映和考核部门履职时效目标的实现程度。</w:t>
            </w:r>
          </w:p>
        </w:tc>
        <w:tc>
          <w:tcPr>
            <w:tcW w:w="1681" w:type="pct"/>
            <w:tcMar>
              <w:top w:w="15" w:type="dxa"/>
              <w:left w:w="15" w:type="dxa"/>
              <w:right w:w="15" w:type="dxa"/>
            </w:tcMar>
            <w:vAlign w:val="center"/>
          </w:tcPr>
          <w:p>
            <w:pPr>
              <w:widowControl/>
              <w:textAlignment w:val="center"/>
              <w:rPr>
                <w:kern w:val="0"/>
                <w:sz w:val="20"/>
                <w:szCs w:val="20"/>
              </w:rPr>
            </w:pPr>
            <w:r>
              <w:rPr>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390" w:type="pct"/>
            <w:tcMar>
              <w:top w:w="15" w:type="dxa"/>
              <w:left w:w="15" w:type="dxa"/>
              <w:right w:w="15" w:type="dxa"/>
            </w:tcMar>
            <w:vAlign w:val="center"/>
          </w:tcPr>
          <w:p>
            <w:pPr>
              <w:widowControl/>
              <w:textAlignment w:val="center"/>
              <w:rPr>
                <w:kern w:val="0"/>
                <w:sz w:val="20"/>
                <w:szCs w:val="20"/>
              </w:rPr>
            </w:pPr>
            <w:r>
              <w:rPr>
                <w:rFonts w:hint="eastAsia"/>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8" w:hRule="atLeast"/>
        </w:trPr>
        <w:tc>
          <w:tcPr>
            <w:tcW w:w="438" w:type="pct"/>
            <w:vMerge w:val="continue"/>
            <w:tcMar>
              <w:top w:w="15" w:type="dxa"/>
              <w:left w:w="15" w:type="dxa"/>
              <w:right w:w="15" w:type="dxa"/>
            </w:tcMar>
            <w:vAlign w:val="center"/>
          </w:tcPr>
          <w:p>
            <w:pPr>
              <w:jc w:val="center"/>
              <w:rPr>
                <w:sz w:val="20"/>
                <w:szCs w:val="20"/>
              </w:rPr>
            </w:pPr>
          </w:p>
        </w:tc>
        <w:tc>
          <w:tcPr>
            <w:tcW w:w="372" w:type="pct"/>
            <w:tcMar>
              <w:top w:w="15" w:type="dxa"/>
              <w:left w:w="15" w:type="dxa"/>
              <w:right w:w="15" w:type="dxa"/>
            </w:tcMar>
            <w:vAlign w:val="center"/>
          </w:tcPr>
          <w:p>
            <w:pPr>
              <w:widowControl/>
              <w:jc w:val="center"/>
              <w:textAlignment w:val="center"/>
              <w:rPr>
                <w:rFonts w:ascii="Times New Roman" w:hAnsi="Times New Roman" w:cs="宋体"/>
                <w:sz w:val="20"/>
                <w:szCs w:val="20"/>
              </w:rPr>
            </w:pPr>
            <w:r>
              <w:rPr>
                <w:rStyle w:val="12"/>
                <w:rFonts w:hint="default" w:ascii="Times New Roman" w:hAnsi="Times New Roman"/>
                <w:color w:val="auto"/>
                <w:sz w:val="20"/>
                <w:szCs w:val="20"/>
              </w:rPr>
              <w:t>重点项目或工作办结率</w:t>
            </w: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tc>
        <w:tc>
          <w:tcPr>
            <w:tcW w:w="385" w:type="pct"/>
            <w:tcMar>
              <w:top w:w="15" w:type="dxa"/>
              <w:left w:w="15" w:type="dxa"/>
              <w:right w:w="15" w:type="dxa"/>
            </w:tcMar>
            <w:vAlign w:val="center"/>
          </w:tcPr>
          <w:p>
            <w:pPr>
              <w:widowControl/>
              <w:jc w:val="center"/>
              <w:textAlignment w:val="center"/>
              <w:rPr>
                <w:kern w:val="0"/>
                <w:sz w:val="20"/>
                <w:szCs w:val="20"/>
              </w:rPr>
            </w:pPr>
            <w:r>
              <w:rPr>
                <w:rFonts w:hint="eastAsia"/>
                <w:kern w:val="0"/>
                <w:sz w:val="20"/>
                <w:szCs w:val="20"/>
              </w:rPr>
              <w:t>7</w:t>
            </w:r>
          </w:p>
        </w:tc>
        <w:tc>
          <w:tcPr>
            <w:tcW w:w="1315" w:type="pct"/>
            <w:tcMar>
              <w:top w:w="15" w:type="dxa"/>
              <w:left w:w="15" w:type="dxa"/>
              <w:right w:w="15" w:type="dxa"/>
            </w:tcMar>
            <w:vAlign w:val="center"/>
          </w:tcPr>
          <w:p>
            <w:pPr>
              <w:widowControl/>
              <w:jc w:val="left"/>
              <w:textAlignment w:val="center"/>
              <w:rPr>
                <w:kern w:val="0"/>
                <w:sz w:val="20"/>
                <w:szCs w:val="20"/>
              </w:rPr>
            </w:pPr>
            <w:r>
              <w:rPr>
                <w:kern w:val="0"/>
                <w:sz w:val="20"/>
                <w:szCs w:val="20"/>
              </w:rPr>
              <w:t>部门年度重点</w:t>
            </w:r>
            <w:r>
              <w:rPr>
                <w:rStyle w:val="12"/>
                <w:rFonts w:hint="default" w:ascii="Times New Roman" w:hAnsi="Times New Roman"/>
                <w:color w:val="auto"/>
                <w:sz w:val="20"/>
                <w:szCs w:val="20"/>
              </w:rPr>
              <w:t>项目或</w:t>
            </w:r>
            <w:r>
              <w:rPr>
                <w:kern w:val="0"/>
                <w:sz w:val="20"/>
                <w:szCs w:val="20"/>
              </w:rPr>
              <w:t>工作实际完成数与交办或下达数的比率，用以反映部门对重点</w:t>
            </w:r>
            <w:r>
              <w:rPr>
                <w:rStyle w:val="12"/>
                <w:rFonts w:hint="default" w:ascii="Times New Roman" w:hAnsi="Times New Roman"/>
                <w:color w:val="auto"/>
                <w:sz w:val="20"/>
                <w:szCs w:val="20"/>
              </w:rPr>
              <w:t>项目或</w:t>
            </w:r>
            <w:r>
              <w:rPr>
                <w:kern w:val="0"/>
                <w:sz w:val="20"/>
                <w:szCs w:val="20"/>
              </w:rPr>
              <w:t>工作的办理落实程度。</w:t>
            </w:r>
          </w:p>
        </w:tc>
        <w:tc>
          <w:tcPr>
            <w:tcW w:w="1681" w:type="pct"/>
            <w:tcMar>
              <w:top w:w="15" w:type="dxa"/>
              <w:left w:w="15" w:type="dxa"/>
              <w:right w:w="15" w:type="dxa"/>
            </w:tcMar>
            <w:vAlign w:val="center"/>
          </w:tcPr>
          <w:p>
            <w:pPr>
              <w:widowControl/>
              <w:textAlignment w:val="center"/>
              <w:rPr>
                <w:kern w:val="0"/>
                <w:sz w:val="20"/>
                <w:szCs w:val="20"/>
              </w:rPr>
            </w:pPr>
            <w:r>
              <w:rPr>
                <w:kern w:val="0"/>
                <w:sz w:val="20"/>
                <w:szCs w:val="20"/>
              </w:rPr>
              <w:t>重点</w:t>
            </w:r>
            <w:r>
              <w:rPr>
                <w:rStyle w:val="12"/>
                <w:rFonts w:hint="default" w:ascii="Times New Roman" w:hAnsi="Times New Roman"/>
                <w:color w:val="auto"/>
                <w:sz w:val="20"/>
                <w:szCs w:val="20"/>
              </w:rPr>
              <w:t>项目或</w:t>
            </w:r>
            <w:r>
              <w:rPr>
                <w:kern w:val="0"/>
                <w:sz w:val="20"/>
                <w:szCs w:val="20"/>
              </w:rPr>
              <w:t>工作办结率=（重点</w:t>
            </w:r>
            <w:r>
              <w:rPr>
                <w:rStyle w:val="12"/>
                <w:rFonts w:hint="default" w:ascii="Times New Roman" w:hAnsi="Times New Roman"/>
                <w:color w:val="auto"/>
                <w:sz w:val="20"/>
                <w:szCs w:val="20"/>
              </w:rPr>
              <w:t>项目或</w:t>
            </w:r>
            <w:r>
              <w:rPr>
                <w:kern w:val="0"/>
                <w:sz w:val="20"/>
                <w:szCs w:val="20"/>
              </w:rPr>
              <w:t>工作实际完成数/交办或下达数）*100%。重点</w:t>
            </w:r>
            <w:r>
              <w:rPr>
                <w:rStyle w:val="12"/>
                <w:rFonts w:hint="default" w:ascii="Times New Roman" w:hAnsi="Times New Roman"/>
                <w:color w:val="auto"/>
                <w:sz w:val="20"/>
                <w:szCs w:val="20"/>
              </w:rPr>
              <w:t>项目或</w:t>
            </w:r>
            <w:r>
              <w:rPr>
                <w:kern w:val="0"/>
                <w:sz w:val="20"/>
                <w:szCs w:val="20"/>
              </w:rPr>
              <w:t>工作是指党委、政府、人大、相关部门交办或下达的工作任务。</w:t>
            </w:r>
          </w:p>
        </w:tc>
        <w:tc>
          <w:tcPr>
            <w:tcW w:w="390" w:type="pct"/>
            <w:tcMar>
              <w:top w:w="15" w:type="dxa"/>
              <w:left w:w="15" w:type="dxa"/>
              <w:right w:w="15" w:type="dxa"/>
            </w:tcMar>
            <w:vAlign w:val="center"/>
          </w:tcPr>
          <w:p>
            <w:pPr>
              <w:widowControl/>
              <w:textAlignment w:val="center"/>
              <w:rPr>
                <w:kern w:val="0"/>
                <w:sz w:val="20"/>
                <w:szCs w:val="20"/>
              </w:rPr>
            </w:pPr>
            <w:r>
              <w:rPr>
                <w:rFonts w:hint="eastAsia"/>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trPr>
        <w:tc>
          <w:tcPr>
            <w:tcW w:w="438" w:type="pct"/>
            <w:vMerge w:val="restart"/>
            <w:tcMar>
              <w:top w:w="15" w:type="dxa"/>
              <w:left w:w="15" w:type="dxa"/>
              <w:right w:w="15" w:type="dxa"/>
            </w:tcMar>
            <w:vAlign w:val="center"/>
          </w:tcPr>
          <w:p>
            <w:pPr>
              <w:jc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效益</w:t>
            </w:r>
          </w:p>
          <w:p>
            <w:pPr>
              <w:jc w:val="center"/>
              <w:rPr>
                <w:sz w:val="20"/>
                <w:szCs w:val="20"/>
              </w:rPr>
            </w:pPr>
            <w:r>
              <w:rPr>
                <w:sz w:val="20"/>
                <w:szCs w:val="20"/>
              </w:rPr>
              <w:t>（</w:t>
            </w:r>
            <w:r>
              <w:rPr>
                <w:rFonts w:hint="eastAsia"/>
                <w:sz w:val="20"/>
                <w:szCs w:val="20"/>
              </w:rPr>
              <w:t>17</w:t>
            </w:r>
            <w:r>
              <w:rPr>
                <w:sz w:val="20"/>
                <w:szCs w:val="20"/>
              </w:rPr>
              <w:t>分）</w:t>
            </w:r>
          </w:p>
        </w:tc>
        <w:tc>
          <w:tcPr>
            <w:tcW w:w="372"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经济</w:t>
            </w:r>
          </w:p>
          <w:p>
            <w:pPr>
              <w:widowControl/>
              <w:jc w:val="center"/>
              <w:textAlignment w:val="center"/>
              <w:rPr>
                <w:rFonts w:ascii="Times New Roman" w:hAnsi="Times New Roman" w:cs="宋体"/>
                <w:sz w:val="20"/>
                <w:szCs w:val="20"/>
              </w:rPr>
            </w:pPr>
            <w:r>
              <w:rPr>
                <w:rStyle w:val="12"/>
                <w:rFonts w:hint="default" w:ascii="Times New Roman" w:hAnsi="Times New Roman"/>
                <w:color w:val="auto"/>
                <w:sz w:val="20"/>
                <w:szCs w:val="20"/>
              </w:rPr>
              <w:t>效益</w:t>
            </w: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tc>
        <w:tc>
          <w:tcPr>
            <w:tcW w:w="385" w:type="pct"/>
            <w:tcMar>
              <w:top w:w="15" w:type="dxa"/>
              <w:left w:w="15" w:type="dxa"/>
              <w:right w:w="15" w:type="dxa"/>
            </w:tcMar>
            <w:vAlign w:val="center"/>
          </w:tcPr>
          <w:p>
            <w:pPr>
              <w:widowControl/>
              <w:jc w:val="center"/>
              <w:textAlignment w:val="center"/>
              <w:rPr>
                <w:kern w:val="0"/>
                <w:sz w:val="20"/>
                <w:szCs w:val="20"/>
              </w:rPr>
            </w:pPr>
            <w:r>
              <w:rPr>
                <w:rFonts w:hint="eastAsia"/>
                <w:kern w:val="0"/>
                <w:sz w:val="20"/>
                <w:szCs w:val="20"/>
              </w:rPr>
              <w:t>7</w:t>
            </w:r>
          </w:p>
        </w:tc>
        <w:tc>
          <w:tcPr>
            <w:tcW w:w="1315" w:type="pct"/>
            <w:tcMar>
              <w:top w:w="15" w:type="dxa"/>
              <w:left w:w="15" w:type="dxa"/>
              <w:right w:w="15" w:type="dxa"/>
            </w:tcMar>
            <w:vAlign w:val="center"/>
          </w:tcPr>
          <w:p>
            <w:pPr>
              <w:widowControl/>
              <w:jc w:val="left"/>
              <w:textAlignment w:val="center"/>
              <w:rPr>
                <w:kern w:val="0"/>
                <w:sz w:val="20"/>
                <w:szCs w:val="20"/>
              </w:rPr>
            </w:pPr>
            <w:r>
              <w:rPr>
                <w:kern w:val="0"/>
                <w:sz w:val="20"/>
                <w:szCs w:val="20"/>
              </w:rPr>
              <w:t>部门履行职责对经济发展所带来的直接或间接影响</w:t>
            </w:r>
          </w:p>
        </w:tc>
        <w:tc>
          <w:tcPr>
            <w:tcW w:w="1681" w:type="pct"/>
            <w:vMerge w:val="restart"/>
            <w:tcMar>
              <w:top w:w="15" w:type="dxa"/>
              <w:left w:w="15" w:type="dxa"/>
              <w:right w:w="15" w:type="dxa"/>
            </w:tcMar>
            <w:vAlign w:val="center"/>
          </w:tcPr>
          <w:p>
            <w:pPr>
              <w:widowControl/>
              <w:textAlignment w:val="center"/>
              <w:rPr>
                <w:kern w:val="0"/>
                <w:sz w:val="20"/>
                <w:szCs w:val="20"/>
              </w:rPr>
            </w:pPr>
            <w:r>
              <w:rPr>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390" w:type="pct"/>
            <w:tcMar>
              <w:top w:w="15" w:type="dxa"/>
              <w:left w:w="15" w:type="dxa"/>
              <w:right w:w="15" w:type="dxa"/>
            </w:tcMar>
            <w:vAlign w:val="center"/>
          </w:tcPr>
          <w:p>
            <w:pPr>
              <w:widowControl/>
              <w:textAlignment w:val="center"/>
              <w:rPr>
                <w:kern w:val="0"/>
                <w:sz w:val="20"/>
                <w:szCs w:val="20"/>
              </w:rPr>
            </w:pPr>
            <w:r>
              <w:rPr>
                <w:rFonts w:hint="eastAsia"/>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trPr>
        <w:tc>
          <w:tcPr>
            <w:tcW w:w="438" w:type="pct"/>
            <w:vMerge w:val="continue"/>
            <w:tcMar>
              <w:top w:w="15" w:type="dxa"/>
              <w:left w:w="15" w:type="dxa"/>
              <w:right w:w="15" w:type="dxa"/>
            </w:tcMar>
            <w:vAlign w:val="center"/>
          </w:tcPr>
          <w:p>
            <w:pPr>
              <w:jc w:val="center"/>
              <w:rPr>
                <w:sz w:val="20"/>
                <w:szCs w:val="20"/>
              </w:rPr>
            </w:pPr>
          </w:p>
        </w:tc>
        <w:tc>
          <w:tcPr>
            <w:tcW w:w="372"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社会</w:t>
            </w:r>
          </w:p>
          <w:p>
            <w:pPr>
              <w:widowControl/>
              <w:jc w:val="center"/>
              <w:textAlignment w:val="center"/>
              <w:rPr>
                <w:rFonts w:ascii="Times New Roman" w:hAnsi="Times New Roman" w:cs="宋体"/>
                <w:sz w:val="20"/>
                <w:szCs w:val="20"/>
              </w:rPr>
            </w:pPr>
            <w:r>
              <w:rPr>
                <w:rStyle w:val="12"/>
                <w:rFonts w:hint="default" w:ascii="Times New Roman" w:hAnsi="Times New Roman"/>
                <w:color w:val="auto"/>
                <w:sz w:val="20"/>
                <w:szCs w:val="20"/>
              </w:rPr>
              <w:t>效益</w:t>
            </w: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tc>
        <w:tc>
          <w:tcPr>
            <w:tcW w:w="385" w:type="pct"/>
            <w:tcMar>
              <w:top w:w="15" w:type="dxa"/>
              <w:left w:w="15" w:type="dxa"/>
              <w:right w:w="15" w:type="dxa"/>
            </w:tcMar>
            <w:vAlign w:val="center"/>
          </w:tcPr>
          <w:p>
            <w:pPr>
              <w:widowControl/>
              <w:jc w:val="center"/>
              <w:textAlignment w:val="center"/>
              <w:rPr>
                <w:kern w:val="0"/>
                <w:sz w:val="20"/>
                <w:szCs w:val="20"/>
              </w:rPr>
            </w:pPr>
            <w:r>
              <w:rPr>
                <w:rFonts w:hint="eastAsia"/>
                <w:kern w:val="0"/>
                <w:sz w:val="20"/>
                <w:szCs w:val="20"/>
              </w:rPr>
              <w:t>5</w:t>
            </w:r>
          </w:p>
        </w:tc>
        <w:tc>
          <w:tcPr>
            <w:tcW w:w="1315" w:type="pct"/>
            <w:tcMar>
              <w:top w:w="15" w:type="dxa"/>
              <w:left w:w="15" w:type="dxa"/>
              <w:right w:w="15" w:type="dxa"/>
            </w:tcMar>
            <w:vAlign w:val="center"/>
          </w:tcPr>
          <w:p>
            <w:pPr>
              <w:widowControl/>
              <w:jc w:val="left"/>
              <w:textAlignment w:val="center"/>
              <w:rPr>
                <w:kern w:val="0"/>
                <w:sz w:val="20"/>
                <w:szCs w:val="20"/>
              </w:rPr>
            </w:pPr>
            <w:r>
              <w:rPr>
                <w:kern w:val="0"/>
                <w:sz w:val="20"/>
                <w:szCs w:val="20"/>
              </w:rPr>
              <w:t>部门履行职责对社会发展所带来的直接或间接影响</w:t>
            </w:r>
          </w:p>
        </w:tc>
        <w:tc>
          <w:tcPr>
            <w:tcW w:w="1681" w:type="pct"/>
            <w:vMerge w:val="continue"/>
            <w:tcMar>
              <w:top w:w="15" w:type="dxa"/>
              <w:left w:w="15" w:type="dxa"/>
              <w:right w:w="15" w:type="dxa"/>
            </w:tcMar>
            <w:vAlign w:val="center"/>
          </w:tcPr>
          <w:p>
            <w:pPr>
              <w:widowControl/>
              <w:textAlignment w:val="center"/>
              <w:rPr>
                <w:kern w:val="0"/>
                <w:sz w:val="20"/>
                <w:szCs w:val="20"/>
              </w:rPr>
            </w:pPr>
          </w:p>
        </w:tc>
        <w:tc>
          <w:tcPr>
            <w:tcW w:w="390" w:type="pct"/>
            <w:tcMar>
              <w:top w:w="15" w:type="dxa"/>
              <w:left w:w="15" w:type="dxa"/>
              <w:right w:w="15" w:type="dxa"/>
            </w:tcMar>
            <w:vAlign w:val="center"/>
          </w:tcPr>
          <w:p>
            <w:pPr>
              <w:widowControl/>
              <w:textAlignment w:val="center"/>
              <w:rPr>
                <w:kern w:val="0"/>
                <w:sz w:val="20"/>
                <w:szCs w:val="20"/>
              </w:rPr>
            </w:pPr>
            <w:r>
              <w:rPr>
                <w:rFonts w:hint="eastAsia"/>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trPr>
        <w:tc>
          <w:tcPr>
            <w:tcW w:w="438" w:type="pct"/>
            <w:vMerge w:val="continue"/>
            <w:tcMar>
              <w:top w:w="15" w:type="dxa"/>
              <w:left w:w="15" w:type="dxa"/>
              <w:right w:w="15" w:type="dxa"/>
            </w:tcMar>
            <w:vAlign w:val="center"/>
          </w:tcPr>
          <w:p>
            <w:pPr>
              <w:jc w:val="center"/>
              <w:rPr>
                <w:sz w:val="20"/>
                <w:szCs w:val="20"/>
              </w:rPr>
            </w:pPr>
          </w:p>
        </w:tc>
        <w:tc>
          <w:tcPr>
            <w:tcW w:w="372"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r>
              <w:rPr>
                <w:rStyle w:val="12"/>
                <w:rFonts w:hint="default" w:ascii="Times New Roman" w:hAnsi="Times New Roman"/>
                <w:color w:val="auto"/>
                <w:sz w:val="20"/>
                <w:szCs w:val="20"/>
              </w:rPr>
              <w:t>生态</w:t>
            </w:r>
          </w:p>
          <w:p>
            <w:pPr>
              <w:widowControl/>
              <w:jc w:val="center"/>
              <w:textAlignment w:val="center"/>
              <w:rPr>
                <w:rFonts w:ascii="Times New Roman" w:hAnsi="Times New Roman" w:cs="宋体"/>
                <w:sz w:val="20"/>
                <w:szCs w:val="20"/>
              </w:rPr>
            </w:pPr>
            <w:r>
              <w:rPr>
                <w:rStyle w:val="12"/>
                <w:rFonts w:hint="default" w:ascii="Times New Roman" w:hAnsi="Times New Roman"/>
                <w:color w:val="auto"/>
                <w:sz w:val="20"/>
                <w:szCs w:val="20"/>
              </w:rPr>
              <w:t>效益</w:t>
            </w: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tc>
        <w:tc>
          <w:tcPr>
            <w:tcW w:w="385" w:type="pct"/>
            <w:tcMar>
              <w:top w:w="15" w:type="dxa"/>
              <w:left w:w="15" w:type="dxa"/>
              <w:right w:w="15" w:type="dxa"/>
            </w:tcMar>
            <w:vAlign w:val="center"/>
          </w:tcPr>
          <w:p>
            <w:pPr>
              <w:widowControl/>
              <w:jc w:val="center"/>
              <w:textAlignment w:val="center"/>
              <w:rPr>
                <w:kern w:val="0"/>
                <w:sz w:val="20"/>
                <w:szCs w:val="20"/>
              </w:rPr>
            </w:pPr>
            <w:r>
              <w:rPr>
                <w:rFonts w:hint="eastAsia"/>
                <w:kern w:val="0"/>
                <w:sz w:val="20"/>
                <w:szCs w:val="20"/>
              </w:rPr>
              <w:t>5</w:t>
            </w:r>
          </w:p>
        </w:tc>
        <w:tc>
          <w:tcPr>
            <w:tcW w:w="1315" w:type="pct"/>
            <w:tcMar>
              <w:top w:w="15" w:type="dxa"/>
              <w:left w:w="15" w:type="dxa"/>
              <w:right w:w="15" w:type="dxa"/>
            </w:tcMar>
            <w:vAlign w:val="center"/>
          </w:tcPr>
          <w:p>
            <w:pPr>
              <w:widowControl/>
              <w:jc w:val="left"/>
              <w:textAlignment w:val="center"/>
              <w:rPr>
                <w:kern w:val="0"/>
                <w:sz w:val="20"/>
                <w:szCs w:val="20"/>
              </w:rPr>
            </w:pPr>
            <w:r>
              <w:rPr>
                <w:kern w:val="0"/>
                <w:sz w:val="20"/>
                <w:szCs w:val="20"/>
              </w:rPr>
              <w:t>部门履行职责对生态环境所带来的直接或间接影响</w:t>
            </w:r>
          </w:p>
        </w:tc>
        <w:tc>
          <w:tcPr>
            <w:tcW w:w="1681" w:type="pct"/>
            <w:vMerge w:val="continue"/>
            <w:tcMar>
              <w:top w:w="15" w:type="dxa"/>
              <w:left w:w="15" w:type="dxa"/>
              <w:right w:w="15" w:type="dxa"/>
            </w:tcMar>
            <w:vAlign w:val="center"/>
          </w:tcPr>
          <w:p>
            <w:pPr>
              <w:widowControl/>
              <w:textAlignment w:val="center"/>
              <w:rPr>
                <w:kern w:val="0"/>
                <w:sz w:val="20"/>
                <w:szCs w:val="20"/>
              </w:rPr>
            </w:pPr>
          </w:p>
        </w:tc>
        <w:tc>
          <w:tcPr>
            <w:tcW w:w="390" w:type="pct"/>
            <w:tcMar>
              <w:top w:w="15" w:type="dxa"/>
              <w:left w:w="15" w:type="dxa"/>
              <w:right w:w="15" w:type="dxa"/>
            </w:tcMar>
            <w:vAlign w:val="center"/>
          </w:tcPr>
          <w:p>
            <w:pPr>
              <w:widowControl/>
              <w:textAlignment w:val="center"/>
              <w:rPr>
                <w:kern w:val="0"/>
                <w:sz w:val="20"/>
                <w:szCs w:val="20"/>
              </w:rPr>
            </w:pPr>
            <w:r>
              <w:rPr>
                <w:rFonts w:hint="eastAsia"/>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trPr>
        <w:tc>
          <w:tcPr>
            <w:tcW w:w="438" w:type="pct"/>
            <w:tcMar>
              <w:top w:w="15" w:type="dxa"/>
              <w:left w:w="15" w:type="dxa"/>
              <w:right w:w="15" w:type="dxa"/>
            </w:tcMar>
            <w:vAlign w:val="center"/>
          </w:tcPr>
          <w:p>
            <w:pPr>
              <w:jc w:val="center"/>
              <w:rPr>
                <w:sz w:val="20"/>
                <w:szCs w:val="20"/>
              </w:rPr>
            </w:pPr>
            <w:r>
              <w:rPr>
                <w:rFonts w:hint="eastAsia"/>
                <w:sz w:val="20"/>
                <w:szCs w:val="20"/>
              </w:rPr>
              <w:t>满意度</w:t>
            </w:r>
          </w:p>
          <w:p>
            <w:pPr>
              <w:jc w:val="center"/>
              <w:rPr>
                <w:sz w:val="20"/>
                <w:szCs w:val="20"/>
              </w:rPr>
            </w:pPr>
            <w:r>
              <w:rPr>
                <w:rFonts w:hint="eastAsia"/>
                <w:sz w:val="20"/>
                <w:szCs w:val="20"/>
              </w:rPr>
              <w:t>（8分）</w:t>
            </w:r>
          </w:p>
        </w:tc>
        <w:tc>
          <w:tcPr>
            <w:tcW w:w="372" w:type="pct"/>
            <w:tcMar>
              <w:top w:w="15" w:type="dxa"/>
              <w:left w:w="15" w:type="dxa"/>
              <w:right w:w="15" w:type="dxa"/>
            </w:tcMar>
            <w:vAlign w:val="center"/>
          </w:tcPr>
          <w:p>
            <w:pPr>
              <w:jc w:val="center"/>
              <w:rPr>
                <w:sz w:val="20"/>
                <w:szCs w:val="20"/>
              </w:rPr>
            </w:pPr>
            <w:r>
              <w:rPr>
                <w:rFonts w:hint="eastAsia"/>
                <w:sz w:val="20"/>
                <w:szCs w:val="20"/>
              </w:rPr>
              <w:t>社会公众或服务对象满意度</w:t>
            </w:r>
          </w:p>
        </w:tc>
        <w:tc>
          <w:tcPr>
            <w:tcW w:w="419" w:type="pct"/>
            <w:tcMar>
              <w:top w:w="15" w:type="dxa"/>
              <w:left w:w="15" w:type="dxa"/>
              <w:right w:w="15" w:type="dxa"/>
            </w:tcMar>
            <w:vAlign w:val="center"/>
          </w:tcPr>
          <w:p>
            <w:pPr>
              <w:widowControl/>
              <w:jc w:val="center"/>
              <w:textAlignment w:val="center"/>
              <w:rPr>
                <w:rStyle w:val="12"/>
                <w:rFonts w:hint="default" w:ascii="Times New Roman" w:hAnsi="Times New Roman"/>
                <w:color w:val="auto"/>
                <w:sz w:val="20"/>
                <w:szCs w:val="20"/>
              </w:rPr>
            </w:pPr>
          </w:p>
        </w:tc>
        <w:tc>
          <w:tcPr>
            <w:tcW w:w="385" w:type="pct"/>
            <w:tcMar>
              <w:top w:w="15" w:type="dxa"/>
              <w:left w:w="15" w:type="dxa"/>
              <w:right w:w="15" w:type="dxa"/>
            </w:tcMar>
            <w:vAlign w:val="center"/>
          </w:tcPr>
          <w:p>
            <w:pPr>
              <w:widowControl/>
              <w:jc w:val="center"/>
              <w:textAlignment w:val="center"/>
              <w:rPr>
                <w:kern w:val="0"/>
                <w:sz w:val="20"/>
                <w:szCs w:val="20"/>
              </w:rPr>
            </w:pPr>
            <w:r>
              <w:rPr>
                <w:rFonts w:hint="eastAsia"/>
                <w:kern w:val="0"/>
                <w:sz w:val="20"/>
                <w:szCs w:val="20"/>
              </w:rPr>
              <w:t>8</w:t>
            </w:r>
          </w:p>
        </w:tc>
        <w:tc>
          <w:tcPr>
            <w:tcW w:w="1315" w:type="pct"/>
            <w:tcMar>
              <w:top w:w="15" w:type="dxa"/>
              <w:left w:w="15" w:type="dxa"/>
              <w:right w:w="15" w:type="dxa"/>
            </w:tcMar>
            <w:vAlign w:val="center"/>
          </w:tcPr>
          <w:p>
            <w:pPr>
              <w:widowControl/>
              <w:jc w:val="left"/>
              <w:textAlignment w:val="center"/>
              <w:rPr>
                <w:kern w:val="0"/>
                <w:sz w:val="20"/>
                <w:szCs w:val="20"/>
              </w:rPr>
            </w:pPr>
            <w:r>
              <w:rPr>
                <w:kern w:val="0"/>
                <w:sz w:val="20"/>
                <w:szCs w:val="20"/>
              </w:rPr>
              <w:t>社会公众或部门的服务对象对部门履职效果的满意程度</w:t>
            </w:r>
          </w:p>
        </w:tc>
        <w:tc>
          <w:tcPr>
            <w:tcW w:w="1681" w:type="pct"/>
            <w:tcMar>
              <w:top w:w="15" w:type="dxa"/>
              <w:left w:w="15" w:type="dxa"/>
              <w:right w:w="15" w:type="dxa"/>
            </w:tcMar>
            <w:vAlign w:val="center"/>
          </w:tcPr>
          <w:p>
            <w:pPr>
              <w:widowControl/>
              <w:textAlignment w:val="center"/>
              <w:rPr>
                <w:kern w:val="0"/>
                <w:sz w:val="20"/>
                <w:szCs w:val="20"/>
              </w:rPr>
            </w:pPr>
            <w:r>
              <w:rPr>
                <w:kern w:val="0"/>
                <w:sz w:val="20"/>
                <w:szCs w:val="20"/>
              </w:rPr>
              <w:t>社会公众或服务对象是指部门履行职责而影响到的部门、群体或个人。一般采取社会调查的方式。</w:t>
            </w:r>
          </w:p>
        </w:tc>
        <w:tc>
          <w:tcPr>
            <w:tcW w:w="390" w:type="pct"/>
            <w:tcMar>
              <w:top w:w="15" w:type="dxa"/>
              <w:left w:w="15" w:type="dxa"/>
              <w:right w:w="15" w:type="dxa"/>
            </w:tcMar>
            <w:vAlign w:val="center"/>
          </w:tcPr>
          <w:p>
            <w:pPr>
              <w:widowControl/>
              <w:textAlignment w:val="center"/>
              <w:rPr>
                <w:kern w:val="0"/>
                <w:sz w:val="20"/>
                <w:szCs w:val="20"/>
              </w:rPr>
            </w:pPr>
            <w:r>
              <w:rPr>
                <w:rFonts w:hint="eastAsia"/>
                <w:kern w:val="0"/>
                <w:sz w:val="20"/>
                <w:szCs w:val="20"/>
              </w:rPr>
              <w:t>8</w:t>
            </w:r>
          </w:p>
        </w:tc>
      </w:tr>
    </w:tbl>
    <w:p>
      <w:pPr>
        <w:widowControl/>
        <w:ind w:left="91"/>
        <w:jc w:val="center"/>
        <w:rPr>
          <w:rFonts w:eastAsia="方正小标宋简体"/>
          <w:kern w:val="0"/>
          <w:sz w:val="44"/>
          <w:szCs w:val="44"/>
        </w:rPr>
      </w:pPr>
    </w:p>
    <w:p>
      <w:pPr>
        <w:widowControl/>
        <w:ind w:left="91"/>
        <w:jc w:val="center"/>
        <w:rPr>
          <w:rFonts w:eastAsia="方正小标宋简体"/>
          <w:kern w:val="0"/>
          <w:sz w:val="44"/>
          <w:szCs w:val="44"/>
        </w:rPr>
      </w:pPr>
    </w:p>
    <w:p>
      <w:pPr>
        <w:spacing w:line="20" w:lineRule="exact"/>
        <w:rPr>
          <w:rFonts w:ascii="Times New Roman" w:hAnsi="Times New Roman" w:eastAsia="黑体"/>
          <w:sz w:val="28"/>
          <w:szCs w:val="28"/>
        </w:rPr>
      </w:pPr>
    </w:p>
    <w:p>
      <w:pPr>
        <w:rPr>
          <w:rFonts w:ascii="Times New Roman" w:hAnsi="Times New Roman" w:eastAsia="黑体"/>
          <w:sz w:val="32"/>
          <w:szCs w:val="32"/>
        </w:rPr>
        <w:sectPr>
          <w:pgSz w:w="11906" w:h="16838"/>
          <w:pgMar w:top="1440" w:right="1800" w:bottom="1440" w:left="1800" w:header="851" w:footer="992" w:gutter="0"/>
          <w:cols w:space="425" w:num="1"/>
          <w:docGrid w:type="lines" w:linePitch="312" w:charSpace="0"/>
        </w:sectPr>
      </w:pPr>
    </w:p>
    <w:p>
      <w:pPr>
        <w:rPr>
          <w:rFonts w:ascii="Times New Roman" w:hAnsi="Times New Roman" w:eastAsia="黑体"/>
          <w:sz w:val="32"/>
          <w:szCs w:val="32"/>
        </w:rPr>
      </w:pPr>
    </w:p>
    <w:p>
      <w:pPr>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1</w:t>
      </w:r>
      <w:r>
        <w:rPr>
          <w:rFonts w:ascii="Times New Roman" w:hAnsi="Times New Roman" w:eastAsia="黑体"/>
          <w:sz w:val="32"/>
          <w:szCs w:val="32"/>
        </w:rPr>
        <w:t>-</w:t>
      </w:r>
      <w:r>
        <w:rPr>
          <w:rFonts w:hint="eastAsia" w:ascii="Times New Roman" w:hAnsi="Times New Roman" w:eastAsia="黑体"/>
          <w:sz w:val="32"/>
          <w:szCs w:val="32"/>
        </w:rPr>
        <w:t>2</w:t>
      </w:r>
      <w:r>
        <w:rPr>
          <w:rFonts w:ascii="Times New Roman" w:hAnsi="Times New Roman" w:eastAsia="黑体"/>
          <w:sz w:val="32"/>
          <w:szCs w:val="32"/>
        </w:rPr>
        <w:tab/>
      </w:r>
    </w:p>
    <w:p>
      <w:pPr>
        <w:widowControl/>
        <w:spacing w:line="600" w:lineRule="exact"/>
        <w:ind w:left="91"/>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部门整体支出绩效</w:t>
      </w:r>
      <w:r>
        <w:rPr>
          <w:rFonts w:hint="eastAsia" w:ascii="Times New Roman" w:hAnsi="Times New Roman" w:eastAsia="方正小标宋简体"/>
          <w:kern w:val="0"/>
          <w:sz w:val="44"/>
          <w:szCs w:val="44"/>
        </w:rPr>
        <w:t>自评</w:t>
      </w:r>
      <w:r>
        <w:rPr>
          <w:rFonts w:ascii="Times New Roman" w:hAnsi="Times New Roman" w:eastAsia="方正小标宋简体"/>
          <w:kern w:val="0"/>
          <w:sz w:val="44"/>
          <w:szCs w:val="44"/>
        </w:rPr>
        <w:t>基础数据表</w:t>
      </w:r>
    </w:p>
    <w:p>
      <w:pPr>
        <w:widowControl/>
        <w:spacing w:line="400" w:lineRule="exact"/>
        <w:ind w:left="91"/>
        <w:jc w:val="center"/>
        <w:rPr>
          <w:rFonts w:ascii="Times New Roman" w:hAnsi="Times New Roman"/>
          <w:kern w:val="0"/>
          <w:sz w:val="36"/>
          <w:szCs w:val="36"/>
        </w:rPr>
      </w:pPr>
    </w:p>
    <w:p>
      <w:pPr>
        <w:widowControl/>
        <w:tabs>
          <w:tab w:val="left" w:pos="3611"/>
          <w:tab w:val="left" w:pos="4791"/>
          <w:tab w:val="left" w:pos="5951"/>
          <w:tab w:val="left" w:pos="7071"/>
          <w:tab w:val="left" w:pos="8191"/>
          <w:tab w:val="left" w:pos="9311"/>
        </w:tabs>
        <w:spacing w:line="600" w:lineRule="exact"/>
        <w:ind w:left="91"/>
        <w:jc w:val="left"/>
        <w:rPr>
          <w:rFonts w:ascii="Times New Roman" w:hAnsi="Times New Roman" w:eastAsia="楷体_GB2312"/>
          <w:b/>
          <w:bCs/>
          <w:kern w:val="0"/>
          <w:sz w:val="24"/>
        </w:rPr>
      </w:pPr>
      <w:r>
        <w:rPr>
          <w:rFonts w:ascii="Times New Roman" w:hAnsi="Times New Roman" w:eastAsia="楷体_GB2312"/>
          <w:b/>
          <w:bCs/>
          <w:kern w:val="0"/>
          <w:sz w:val="24"/>
        </w:rPr>
        <w:t>填报单位：</w:t>
      </w:r>
      <w:r>
        <w:rPr>
          <w:rFonts w:hint="eastAsia" w:ascii="Times New Roman" w:hAnsi="Times New Roman" w:eastAsia="楷体_GB2312"/>
          <w:b/>
          <w:bCs/>
          <w:kern w:val="0"/>
          <w:sz w:val="24"/>
        </w:rPr>
        <w:t>长沙县机关事务中心                            单位：万元</w:t>
      </w:r>
    </w:p>
    <w:tbl>
      <w:tblPr>
        <w:tblStyle w:val="5"/>
        <w:tblW w:w="9450" w:type="dxa"/>
        <w:jc w:val="center"/>
        <w:tblLayout w:type="fixed"/>
        <w:tblCellMar>
          <w:top w:w="0" w:type="dxa"/>
          <w:left w:w="108" w:type="dxa"/>
          <w:bottom w:w="0" w:type="dxa"/>
          <w:right w:w="108" w:type="dxa"/>
        </w:tblCellMar>
      </w:tblPr>
      <w:tblGrid>
        <w:gridCol w:w="3077"/>
        <w:gridCol w:w="1054"/>
        <w:gridCol w:w="834"/>
        <w:gridCol w:w="1350"/>
        <w:gridCol w:w="1133"/>
        <w:gridCol w:w="935"/>
        <w:gridCol w:w="1067"/>
      </w:tblGrid>
      <w:tr>
        <w:tblPrEx>
          <w:tblCellMar>
            <w:top w:w="0" w:type="dxa"/>
            <w:left w:w="108" w:type="dxa"/>
            <w:bottom w:w="0" w:type="dxa"/>
            <w:right w:w="108" w:type="dxa"/>
          </w:tblCellMar>
        </w:tblPrEx>
        <w:trPr>
          <w:trHeight w:val="763" w:hRule="atLeast"/>
          <w:jc w:val="center"/>
        </w:trPr>
        <w:tc>
          <w:tcPr>
            <w:tcW w:w="30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eastAsia="黑体"/>
                <w:kern w:val="0"/>
                <w:sz w:val="20"/>
                <w:szCs w:val="20"/>
              </w:rPr>
              <w:t>财政供养人员情况</w:t>
            </w:r>
          </w:p>
        </w:tc>
        <w:tc>
          <w:tcPr>
            <w:tcW w:w="1888"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编制数</w:t>
            </w:r>
          </w:p>
        </w:tc>
        <w:tc>
          <w:tcPr>
            <w:tcW w:w="2483"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20</w:t>
            </w:r>
            <w:r>
              <w:rPr>
                <w:rFonts w:hint="eastAsia" w:ascii="Times New Roman" w:hAnsi="Times New Roman" w:eastAsia="黑体"/>
                <w:kern w:val="0"/>
                <w:sz w:val="20"/>
                <w:szCs w:val="20"/>
              </w:rPr>
              <w:t>21</w:t>
            </w:r>
            <w:r>
              <w:rPr>
                <w:rFonts w:ascii="Times New Roman" w:hAnsi="Times New Roman" w:eastAsia="黑体"/>
                <w:kern w:val="0"/>
                <w:sz w:val="20"/>
                <w:szCs w:val="20"/>
              </w:rPr>
              <w:t>年实际在职人数</w:t>
            </w:r>
          </w:p>
        </w:tc>
        <w:tc>
          <w:tcPr>
            <w:tcW w:w="200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控制率</w:t>
            </w:r>
          </w:p>
        </w:tc>
      </w:tr>
      <w:tr>
        <w:tblPrEx>
          <w:tblCellMar>
            <w:top w:w="0" w:type="dxa"/>
            <w:left w:w="108" w:type="dxa"/>
            <w:bottom w:w="0" w:type="dxa"/>
            <w:right w:w="108" w:type="dxa"/>
          </w:tblCellMar>
        </w:tblPrEx>
        <w:trPr>
          <w:trHeight w:val="177" w:hRule="atLeast"/>
          <w:jc w:val="center"/>
        </w:trPr>
        <w:tc>
          <w:tcPr>
            <w:tcW w:w="30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888"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51</w:t>
            </w:r>
          </w:p>
        </w:tc>
        <w:tc>
          <w:tcPr>
            <w:tcW w:w="2483"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47</w:t>
            </w:r>
          </w:p>
        </w:tc>
        <w:tc>
          <w:tcPr>
            <w:tcW w:w="200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92%</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经费控制情况</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20</w:t>
            </w:r>
            <w:r>
              <w:rPr>
                <w:rFonts w:hint="eastAsia" w:ascii="Times New Roman" w:hAnsi="Times New Roman"/>
                <w:b/>
                <w:bCs/>
                <w:kern w:val="0"/>
                <w:sz w:val="20"/>
                <w:szCs w:val="20"/>
              </w:rPr>
              <w:t>20</w:t>
            </w:r>
            <w:r>
              <w:rPr>
                <w:rFonts w:ascii="Times New Roman" w:hAnsi="Times New Roman"/>
                <w:b/>
                <w:bCs/>
                <w:kern w:val="0"/>
                <w:sz w:val="20"/>
                <w:szCs w:val="20"/>
              </w:rPr>
              <w:t>年决算数</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20</w:t>
            </w:r>
            <w:r>
              <w:rPr>
                <w:rFonts w:hint="eastAsia" w:ascii="Times New Roman" w:hAnsi="Times New Roman"/>
                <w:b/>
                <w:bCs/>
                <w:kern w:val="0"/>
                <w:sz w:val="20"/>
                <w:szCs w:val="20"/>
              </w:rPr>
              <w:t>21</w:t>
            </w:r>
            <w:r>
              <w:rPr>
                <w:rFonts w:ascii="Times New Roman" w:hAnsi="Times New Roman"/>
                <w:b/>
                <w:bCs/>
                <w:kern w:val="0"/>
                <w:sz w:val="20"/>
                <w:szCs w:val="20"/>
              </w:rPr>
              <w:t>年预算数</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20</w:t>
            </w:r>
            <w:r>
              <w:rPr>
                <w:rFonts w:hint="eastAsia" w:ascii="Times New Roman" w:hAnsi="Times New Roman"/>
                <w:b/>
                <w:bCs/>
                <w:kern w:val="0"/>
                <w:sz w:val="20"/>
                <w:szCs w:val="20"/>
              </w:rPr>
              <w:t>21</w:t>
            </w:r>
            <w:r>
              <w:rPr>
                <w:rFonts w:ascii="Times New Roman" w:hAnsi="Times New Roman"/>
                <w:b/>
                <w:bCs/>
                <w:kern w:val="0"/>
                <w:sz w:val="20"/>
                <w:szCs w:val="20"/>
              </w:rPr>
              <w:t>年决算数</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三公经费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716.80</w:t>
            </w: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 xml:space="preserve"> 722</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 xml:space="preserve"> 719.55</w:t>
            </w:r>
            <w:r>
              <w:rPr>
                <w:rFonts w:ascii="Times New Roman" w:hAnsi="Times New Roman"/>
                <w:kern w:val="0"/>
                <w:sz w:val="20"/>
                <w:szCs w:val="20"/>
              </w:rPr>
              <w:t>　</w:t>
            </w:r>
          </w:p>
        </w:tc>
      </w:tr>
      <w:tr>
        <w:tblPrEx>
          <w:tblCellMar>
            <w:top w:w="0" w:type="dxa"/>
            <w:left w:w="108" w:type="dxa"/>
            <w:bottom w:w="0" w:type="dxa"/>
            <w:right w:w="108" w:type="dxa"/>
          </w:tblCellMar>
        </w:tblPrEx>
        <w:trPr>
          <w:trHeight w:val="39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1、公务用车购置和维护经费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715.05</w:t>
            </w: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720</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719.55</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其中：公车购置</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公车运行维护</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715.05</w:t>
            </w: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720</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717.8</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2、出国经费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3、公务接待</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1.75</w:t>
            </w: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1.75</w:t>
            </w:r>
          </w:p>
        </w:tc>
      </w:tr>
      <w:tr>
        <w:tblPrEx>
          <w:tblCellMar>
            <w:top w:w="0" w:type="dxa"/>
            <w:left w:w="108" w:type="dxa"/>
            <w:bottom w:w="0" w:type="dxa"/>
            <w:right w:w="108" w:type="dxa"/>
          </w:tblCellMar>
        </w:tblPrEx>
        <w:trPr>
          <w:trHeight w:val="39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项目支出：</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1、业务工作专项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2、运行维护专项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1221.28</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14160.10</w:t>
            </w:r>
            <w:r>
              <w:rPr>
                <w:rFonts w:ascii="Times New Roman" w:hAnsi="Times New Roman"/>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公用经费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11454.65</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209.14</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204.33</w:t>
            </w:r>
          </w:p>
        </w:tc>
      </w:tr>
      <w:tr>
        <w:tblPrEx>
          <w:tblCellMar>
            <w:top w:w="0" w:type="dxa"/>
            <w:left w:w="108" w:type="dxa"/>
            <w:bottom w:w="0" w:type="dxa"/>
            <w:right w:w="108" w:type="dxa"/>
          </w:tblCellMar>
        </w:tblPrEx>
        <w:trPr>
          <w:trHeight w:val="39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其中：办公经费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3220.41</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63.9</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62.24</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水费、电费、差旅费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658.53</w:t>
            </w:r>
            <w:r>
              <w:rPr>
                <w:rFonts w:ascii="Times New Roman" w:hAnsi="Times New Roman"/>
                <w:kern w:val="0"/>
                <w:sz w:val="20"/>
                <w:szCs w:val="20"/>
              </w:rPr>
              <w:t>　</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0.5</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会议费、培训费</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0.06</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1</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0.06</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政府采购金额</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2981.27</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8368.85</w:t>
            </w:r>
            <w:r>
              <w:rPr>
                <w:rFonts w:ascii="Times New Roman" w:hAnsi="Times New Roman"/>
                <w:kern w:val="0"/>
                <w:sz w:val="20"/>
                <w:szCs w:val="20"/>
              </w:rPr>
              <w:t>　</w:t>
            </w:r>
          </w:p>
        </w:tc>
      </w:tr>
      <w:tr>
        <w:tblPrEx>
          <w:tblCellMar>
            <w:top w:w="0" w:type="dxa"/>
            <w:left w:w="108" w:type="dxa"/>
            <w:bottom w:w="0" w:type="dxa"/>
            <w:right w:w="108" w:type="dxa"/>
          </w:tblCellMar>
        </w:tblPrEx>
        <w:trPr>
          <w:trHeight w:val="371"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部门整体支出预算调整 </w:t>
            </w:r>
          </w:p>
        </w:tc>
        <w:tc>
          <w:tcPr>
            <w:tcW w:w="188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2483"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2002"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1041" w:hRule="atLeast"/>
          <w:jc w:val="center"/>
        </w:trPr>
        <w:tc>
          <w:tcPr>
            <w:tcW w:w="3077"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Theme="minorEastAsia"/>
                <w:kern w:val="0"/>
                <w:sz w:val="20"/>
                <w:szCs w:val="20"/>
                <w:lang w:eastAsia="zh-CN"/>
              </w:rPr>
            </w:pPr>
            <w:r>
              <w:rPr>
                <w:rFonts w:ascii="Times New Roman" w:hAnsi="Times New Roman"/>
                <w:kern w:val="0"/>
                <w:sz w:val="20"/>
                <w:szCs w:val="20"/>
              </w:rPr>
              <w:t>楼堂馆所控制情况</w:t>
            </w:r>
          </w:p>
          <w:p>
            <w:pPr>
              <w:widowControl/>
              <w:jc w:val="center"/>
              <w:rPr>
                <w:rFonts w:ascii="Times New Roman" w:hAnsi="Times New Roman"/>
                <w:kern w:val="0"/>
                <w:sz w:val="20"/>
                <w:szCs w:val="20"/>
              </w:rPr>
            </w:pPr>
            <w:r>
              <w:rPr>
                <w:rFonts w:ascii="Times New Roman" w:hAnsi="Times New Roman"/>
                <w:kern w:val="0"/>
                <w:sz w:val="20"/>
                <w:szCs w:val="20"/>
              </w:rPr>
              <w:t>（20</w:t>
            </w:r>
            <w:r>
              <w:rPr>
                <w:rFonts w:hint="eastAsia" w:ascii="Times New Roman" w:hAnsi="Times New Roman"/>
                <w:kern w:val="0"/>
                <w:sz w:val="20"/>
                <w:szCs w:val="20"/>
              </w:rPr>
              <w:t>20</w:t>
            </w:r>
            <w:r>
              <w:rPr>
                <w:rFonts w:ascii="Times New Roman" w:hAnsi="Times New Roman"/>
                <w:kern w:val="0"/>
                <w:sz w:val="20"/>
                <w:szCs w:val="20"/>
              </w:rPr>
              <w:t>年完工项目）</w:t>
            </w:r>
          </w:p>
        </w:tc>
        <w:tc>
          <w:tcPr>
            <w:tcW w:w="1054"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Theme="minorEastAsia"/>
                <w:b/>
                <w:bCs/>
                <w:kern w:val="0"/>
                <w:sz w:val="20"/>
                <w:szCs w:val="20"/>
                <w:lang w:eastAsia="zh-CN"/>
              </w:rPr>
            </w:pPr>
            <w:r>
              <w:rPr>
                <w:rFonts w:ascii="Times New Roman" w:hAnsi="Times New Roman"/>
                <w:b/>
                <w:bCs/>
                <w:kern w:val="0"/>
                <w:sz w:val="20"/>
                <w:szCs w:val="20"/>
              </w:rPr>
              <w:t>批复规模</w:t>
            </w:r>
          </w:p>
          <w:p>
            <w:pPr>
              <w:widowControl/>
              <w:jc w:val="center"/>
              <w:rPr>
                <w:rFonts w:ascii="Times New Roman" w:hAnsi="Times New Roman"/>
                <w:b/>
                <w:bCs/>
                <w:kern w:val="0"/>
                <w:sz w:val="20"/>
                <w:szCs w:val="20"/>
              </w:rPr>
            </w:pPr>
            <w:r>
              <w:rPr>
                <w:rFonts w:ascii="Times New Roman" w:hAnsi="Times New Roman"/>
                <w:b/>
                <w:bCs/>
                <w:kern w:val="0"/>
                <w:sz w:val="20"/>
                <w:szCs w:val="20"/>
              </w:rPr>
              <w:t>（㎡）</w:t>
            </w:r>
          </w:p>
        </w:tc>
        <w:tc>
          <w:tcPr>
            <w:tcW w:w="834"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实际</w:t>
            </w:r>
          </w:p>
          <w:p>
            <w:pPr>
              <w:widowControl/>
              <w:jc w:val="center"/>
              <w:rPr>
                <w:rFonts w:hint="eastAsia" w:ascii="Times New Roman" w:hAnsi="Times New Roman" w:eastAsiaTheme="minorEastAsia"/>
                <w:b/>
                <w:bCs/>
                <w:kern w:val="0"/>
                <w:sz w:val="20"/>
                <w:szCs w:val="20"/>
                <w:lang w:eastAsia="zh-CN"/>
              </w:rPr>
            </w:pPr>
            <w:r>
              <w:rPr>
                <w:rFonts w:ascii="Times New Roman" w:hAnsi="Times New Roman"/>
                <w:b/>
                <w:bCs/>
                <w:kern w:val="0"/>
                <w:sz w:val="20"/>
                <w:szCs w:val="20"/>
              </w:rPr>
              <w:t>规模</w:t>
            </w:r>
          </w:p>
          <w:p>
            <w:pPr>
              <w:widowControl/>
              <w:jc w:val="center"/>
              <w:rPr>
                <w:rFonts w:ascii="Times New Roman" w:hAnsi="Times New Roman"/>
                <w:b/>
                <w:bCs/>
                <w:kern w:val="0"/>
                <w:sz w:val="20"/>
                <w:szCs w:val="20"/>
              </w:rPr>
            </w:pPr>
            <w:r>
              <w:rPr>
                <w:rFonts w:ascii="Times New Roman" w:hAnsi="Times New Roman"/>
                <w:b/>
                <w:bCs/>
                <w:kern w:val="0"/>
                <w:sz w:val="20"/>
                <w:szCs w:val="20"/>
              </w:rPr>
              <w:t>（㎡）</w:t>
            </w:r>
          </w:p>
        </w:tc>
        <w:tc>
          <w:tcPr>
            <w:tcW w:w="1350"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规模控制率</w:t>
            </w:r>
          </w:p>
        </w:tc>
        <w:tc>
          <w:tcPr>
            <w:tcW w:w="113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Theme="minorEastAsia"/>
                <w:b/>
                <w:bCs/>
                <w:kern w:val="0"/>
                <w:sz w:val="20"/>
                <w:szCs w:val="20"/>
                <w:lang w:eastAsia="zh-CN"/>
              </w:rPr>
            </w:pPr>
            <w:r>
              <w:rPr>
                <w:rFonts w:ascii="Times New Roman" w:hAnsi="Times New Roman"/>
                <w:b/>
                <w:bCs/>
                <w:kern w:val="0"/>
                <w:sz w:val="20"/>
                <w:szCs w:val="20"/>
              </w:rPr>
              <w:t>预算投资</w:t>
            </w:r>
          </w:p>
          <w:p>
            <w:pPr>
              <w:widowControl/>
              <w:jc w:val="center"/>
              <w:rPr>
                <w:rFonts w:ascii="Times New Roman" w:hAnsi="Times New Roman"/>
                <w:b/>
                <w:bCs/>
                <w:kern w:val="0"/>
                <w:sz w:val="20"/>
                <w:szCs w:val="20"/>
              </w:rPr>
            </w:pPr>
            <w:r>
              <w:rPr>
                <w:rFonts w:ascii="Times New Roman" w:hAnsi="Times New Roman"/>
                <w:b/>
                <w:bCs/>
                <w:kern w:val="0"/>
                <w:sz w:val="20"/>
                <w:szCs w:val="20"/>
              </w:rPr>
              <w:t>（万元）</w:t>
            </w:r>
          </w:p>
        </w:tc>
        <w:tc>
          <w:tcPr>
            <w:tcW w:w="935"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实际</w:t>
            </w:r>
          </w:p>
          <w:p>
            <w:pPr>
              <w:widowControl/>
              <w:jc w:val="center"/>
              <w:rPr>
                <w:rFonts w:hint="eastAsia" w:ascii="Times New Roman" w:hAnsi="Times New Roman" w:eastAsiaTheme="minorEastAsia"/>
                <w:b/>
                <w:bCs/>
                <w:kern w:val="0"/>
                <w:sz w:val="20"/>
                <w:szCs w:val="20"/>
                <w:lang w:eastAsia="zh-CN"/>
              </w:rPr>
            </w:pPr>
            <w:r>
              <w:rPr>
                <w:rFonts w:ascii="Times New Roman" w:hAnsi="Times New Roman"/>
                <w:b/>
                <w:bCs/>
                <w:kern w:val="0"/>
                <w:sz w:val="20"/>
                <w:szCs w:val="20"/>
              </w:rPr>
              <w:t>投资</w:t>
            </w:r>
          </w:p>
          <w:p>
            <w:pPr>
              <w:widowControl/>
              <w:jc w:val="center"/>
              <w:rPr>
                <w:rFonts w:ascii="Times New Roman" w:hAnsi="Times New Roman"/>
                <w:b/>
                <w:bCs/>
                <w:kern w:val="0"/>
                <w:sz w:val="20"/>
                <w:szCs w:val="20"/>
              </w:rPr>
            </w:pPr>
            <w:r>
              <w:rPr>
                <w:rFonts w:ascii="Times New Roman" w:hAnsi="Times New Roman"/>
                <w:b/>
                <w:bCs/>
                <w:kern w:val="0"/>
                <w:sz w:val="20"/>
                <w:szCs w:val="20"/>
              </w:rPr>
              <w:t>（万元）</w:t>
            </w:r>
          </w:p>
        </w:tc>
        <w:tc>
          <w:tcPr>
            <w:tcW w:w="1067" w:type="dxa"/>
            <w:tcBorders>
              <w:top w:val="nil"/>
              <w:left w:val="nil"/>
              <w:bottom w:val="single" w:color="auto" w:sz="4" w:space="0"/>
              <w:right w:val="single" w:color="auto" w:sz="4" w:space="0"/>
            </w:tcBorders>
            <w:vAlign w:val="center"/>
          </w:tcPr>
          <w:p>
            <w:pPr>
              <w:widowControl/>
              <w:jc w:val="center"/>
              <w:rPr>
                <w:rFonts w:ascii="Times New Roman" w:hAnsi="Times New Roman"/>
                <w:b/>
                <w:bCs/>
                <w:kern w:val="0"/>
                <w:sz w:val="20"/>
                <w:szCs w:val="20"/>
              </w:rPr>
            </w:pPr>
            <w:r>
              <w:rPr>
                <w:rFonts w:ascii="Times New Roman" w:hAnsi="Times New Roman"/>
                <w:b/>
                <w:bCs/>
                <w:kern w:val="0"/>
                <w:sz w:val="20"/>
                <w:szCs w:val="20"/>
              </w:rPr>
              <w:t>投资概算</w:t>
            </w:r>
          </w:p>
          <w:p>
            <w:pPr>
              <w:widowControl/>
              <w:jc w:val="center"/>
              <w:rPr>
                <w:rFonts w:ascii="Times New Roman" w:hAnsi="Times New Roman"/>
                <w:b/>
                <w:bCs/>
                <w:kern w:val="0"/>
                <w:sz w:val="20"/>
                <w:szCs w:val="20"/>
              </w:rPr>
            </w:pPr>
            <w:r>
              <w:rPr>
                <w:rFonts w:ascii="Times New Roman" w:hAnsi="Times New Roman"/>
                <w:b/>
                <w:bCs/>
                <w:kern w:val="0"/>
                <w:sz w:val="20"/>
                <w:szCs w:val="20"/>
              </w:rPr>
              <w:t>控制率</w:t>
            </w:r>
          </w:p>
        </w:tc>
      </w:tr>
      <w:tr>
        <w:tblPrEx>
          <w:tblCellMar>
            <w:top w:w="0" w:type="dxa"/>
            <w:left w:w="108" w:type="dxa"/>
            <w:bottom w:w="0" w:type="dxa"/>
            <w:right w:w="108" w:type="dxa"/>
          </w:tblCellMar>
        </w:tblPrEx>
        <w:trPr>
          <w:trHeight w:val="438" w:hRule="atLeast"/>
          <w:jc w:val="center"/>
        </w:trPr>
        <w:tc>
          <w:tcPr>
            <w:tcW w:w="3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54"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834"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350"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133"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935"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c>
          <w:tcPr>
            <w:tcW w:w="1067" w:type="dxa"/>
            <w:tcBorders>
              <w:top w:val="nil"/>
              <w:left w:val="nil"/>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433" w:hRule="atLeast"/>
          <w:jc w:val="center"/>
        </w:trPr>
        <w:tc>
          <w:tcPr>
            <w:tcW w:w="307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厉行节约保障措施</w:t>
            </w:r>
          </w:p>
        </w:tc>
        <w:tc>
          <w:tcPr>
            <w:tcW w:w="6373" w:type="dxa"/>
            <w:gridSpan w:val="6"/>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700" w:hRule="atLeast"/>
          <w:jc w:val="center"/>
        </w:trPr>
        <w:tc>
          <w:tcPr>
            <w:tcW w:w="9450" w:type="dxa"/>
            <w:gridSpan w:val="7"/>
            <w:tcBorders>
              <w:top w:val="single" w:color="auto" w:sz="4" w:space="0"/>
              <w:left w:val="nil"/>
              <w:bottom w:val="nil"/>
              <w:right w:val="nil"/>
            </w:tcBorders>
            <w:vAlign w:val="center"/>
          </w:tcPr>
          <w:p>
            <w:pPr>
              <w:widowControl/>
              <w:ind w:left="640" w:hanging="640" w:hangingChars="320"/>
              <w:jc w:val="left"/>
              <w:rPr>
                <w:rFonts w:ascii="Times New Roman" w:hAnsi="Times New Roman"/>
                <w:kern w:val="0"/>
                <w:sz w:val="20"/>
                <w:szCs w:val="20"/>
              </w:rPr>
            </w:pPr>
            <w:r>
              <w:rPr>
                <w:rFonts w:ascii="Times New Roman" w:hAnsi="Times New Roman"/>
                <w:kern w:val="0"/>
                <w:sz w:val="20"/>
                <w:szCs w:val="20"/>
              </w:rPr>
              <w:t>说明：“项目支出”需要填报除公共专项资金和基本支出以外的所有项目情况，包括业务工作项目、运行维护项目等；“公用经费”填报基本支出中的一般商品和服务支出。</w:t>
            </w:r>
          </w:p>
        </w:tc>
      </w:tr>
    </w:tbl>
    <w:p>
      <w:pPr>
        <w:ind w:right="140"/>
        <w:jc w:val="righ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__WRD_EMBED_SUB_46">
    <w:altName w:val="宋体"/>
    <w:panose1 w:val="00000000000000000000"/>
    <w:charset w:val="86"/>
    <w:family w:val="modern"/>
    <w:pitch w:val="default"/>
    <w:sig w:usb0="00000000" w:usb1="00000000" w:usb2="00000010" w:usb3="00000000" w:csb0="00040001" w:csb1="00000000"/>
  </w:font>
  <w:font w:name="仿宋_GB213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NzExYTUzZmE3Y2NmOWMxMWNjOTM1YzQ0MmZkM2MifQ=="/>
  </w:docVars>
  <w:rsids>
    <w:rsidRoot w:val="005D2500"/>
    <w:rsid w:val="00002519"/>
    <w:rsid w:val="0002052B"/>
    <w:rsid w:val="00063DD5"/>
    <w:rsid w:val="00074BC4"/>
    <w:rsid w:val="00216360"/>
    <w:rsid w:val="00221FF8"/>
    <w:rsid w:val="00262829"/>
    <w:rsid w:val="002A62D7"/>
    <w:rsid w:val="002F1288"/>
    <w:rsid w:val="00302278"/>
    <w:rsid w:val="00305947"/>
    <w:rsid w:val="00334F84"/>
    <w:rsid w:val="00380AC8"/>
    <w:rsid w:val="003A29E8"/>
    <w:rsid w:val="00566B2F"/>
    <w:rsid w:val="0059440C"/>
    <w:rsid w:val="005A053E"/>
    <w:rsid w:val="005C7C0B"/>
    <w:rsid w:val="005D2500"/>
    <w:rsid w:val="005F2191"/>
    <w:rsid w:val="00601C91"/>
    <w:rsid w:val="00665228"/>
    <w:rsid w:val="00755D43"/>
    <w:rsid w:val="007F42D4"/>
    <w:rsid w:val="007F68D3"/>
    <w:rsid w:val="00867904"/>
    <w:rsid w:val="00867ED6"/>
    <w:rsid w:val="00900860"/>
    <w:rsid w:val="00917662"/>
    <w:rsid w:val="00931C31"/>
    <w:rsid w:val="00936B79"/>
    <w:rsid w:val="009C3263"/>
    <w:rsid w:val="009C5B6E"/>
    <w:rsid w:val="009D46D9"/>
    <w:rsid w:val="00A94C98"/>
    <w:rsid w:val="00AA0BB4"/>
    <w:rsid w:val="00AA38E7"/>
    <w:rsid w:val="00B4095A"/>
    <w:rsid w:val="00BF5399"/>
    <w:rsid w:val="00CF4194"/>
    <w:rsid w:val="00D63F65"/>
    <w:rsid w:val="00DE5418"/>
    <w:rsid w:val="00E370EF"/>
    <w:rsid w:val="00E66D73"/>
    <w:rsid w:val="00E94A84"/>
    <w:rsid w:val="00EB439B"/>
    <w:rsid w:val="16166468"/>
    <w:rsid w:val="167410A2"/>
    <w:rsid w:val="180F1A92"/>
    <w:rsid w:val="292B1E14"/>
    <w:rsid w:val="363E2E3D"/>
    <w:rsid w:val="36F12801"/>
    <w:rsid w:val="3BA601EA"/>
    <w:rsid w:val="428E31C3"/>
    <w:rsid w:val="4A9D27B0"/>
    <w:rsid w:val="4D13504F"/>
    <w:rsid w:val="52FE08A1"/>
    <w:rsid w:val="57D92DC9"/>
    <w:rsid w:val="59063485"/>
    <w:rsid w:val="6F066BFE"/>
    <w:rsid w:val="799969D1"/>
    <w:rsid w:val="7FD128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jc w:val="left"/>
    </w:pPr>
    <w:rPr>
      <w:rFonts w:ascii="微软雅黑" w:hAnsi="微软雅黑"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BodyText1I2"/>
    <w:basedOn w:val="10"/>
    <w:qFormat/>
    <w:uiPriority w:val="0"/>
    <w:pPr>
      <w:ind w:firstLine="420" w:firstLineChars="200"/>
    </w:pPr>
    <w:rPr>
      <w:rFonts w:ascii="Times New Roman" w:hAnsi="Times New Roman" w:eastAsia="仿宋_GB2312" w:cs="Times New Roman"/>
      <w:sz w:val="32"/>
    </w:rPr>
  </w:style>
  <w:style w:type="paragraph" w:customStyle="1" w:styleId="10">
    <w:name w:val="BodyTextIndent"/>
    <w:basedOn w:val="1"/>
    <w:qFormat/>
    <w:uiPriority w:val="0"/>
    <w:pPr>
      <w:spacing w:after="120"/>
      <w:ind w:left="420" w:leftChars="200"/>
      <w:textAlignment w:val="baseline"/>
    </w:pPr>
  </w:style>
  <w:style w:type="paragraph" w:customStyle="1" w:styleId="11">
    <w:name w:val="BodyText1I"/>
    <w:basedOn w:val="1"/>
    <w:qFormat/>
    <w:uiPriority w:val="99"/>
    <w:pPr>
      <w:snapToGrid w:val="0"/>
      <w:spacing w:line="360" w:lineRule="auto"/>
      <w:ind w:firstLine="420" w:firstLineChars="100"/>
    </w:pPr>
    <w:rPr>
      <w:rFonts w:ascii="Calibri" w:hAnsi="Calibri" w:eastAsia="宋体" w:cs="Times New Roman"/>
      <w:sz w:val="28"/>
      <w:szCs w:val="20"/>
    </w:rPr>
  </w:style>
  <w:style w:type="character" w:customStyle="1" w:styleId="12">
    <w:name w:val="font41"/>
    <w:basedOn w:val="6"/>
    <w:qFormat/>
    <w:uiPriority w:val="0"/>
    <w:rPr>
      <w:rFonts w:hint="eastAsia" w:ascii="宋体" w:hAnsi="宋体" w:eastAsia="宋体" w:cs="宋体"/>
      <w:color w:val="000000"/>
      <w:sz w:val="18"/>
      <w:szCs w:val="18"/>
      <w:u w:val="none"/>
    </w:rPr>
  </w:style>
  <w:style w:type="character" w:customStyle="1" w:styleId="13">
    <w:name w:val="font11"/>
    <w:basedOn w:val="6"/>
    <w:qFormat/>
    <w:uiPriority w:val="0"/>
    <w:rPr>
      <w:rFonts w:hint="default" w:ascii="Times New Roman" w:hAnsi="Times New Roman" w:cs="Times New Roman"/>
      <w:color w:val="FF0000"/>
      <w:sz w:val="18"/>
      <w:szCs w:val="18"/>
      <w:u w:val="none"/>
    </w:rPr>
  </w:style>
  <w:style w:type="character" w:customStyle="1" w:styleId="14">
    <w:name w:val="font21"/>
    <w:basedOn w:val="6"/>
    <w:qFormat/>
    <w:uiPriority w:val="0"/>
    <w:rPr>
      <w:rFonts w:hint="eastAsia" w:ascii="宋体" w:hAnsi="宋体" w:eastAsia="宋体" w:cs="宋体"/>
      <w:color w:val="FF0000"/>
      <w:sz w:val="18"/>
      <w:szCs w:val="18"/>
      <w:u w:val="none"/>
    </w:rPr>
  </w:style>
  <w:style w:type="character" w:customStyle="1" w:styleId="15">
    <w:name w:val="font31"/>
    <w:basedOn w:val="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10489</Words>
  <Characters>11053</Characters>
  <Lines>84</Lines>
  <Paragraphs>23</Paragraphs>
  <TotalTime>106</TotalTime>
  <ScaleCrop>false</ScaleCrop>
  <LinksUpToDate>false</LinksUpToDate>
  <CharactersWithSpaces>11210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2019-04-24T02:46:00Z</dcterms:created>
  <dc:creator>limiao</dc:creator>
  <cp:lastModifiedBy>%E9%9F%A9%E6%9C%A8%E5%8F%A3%E5%84%BF</cp:lastModifiedBy>
  <cp:lastPrinted>2019-04-28T03:51:00Z</cp:lastPrinted>
  <dcterms:modified xsi:type="dcterms:W3CDTF">2022-11-08T05:39:19Z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19CF43EAE1774B559AA45516595C896A</vt:lpwstr>
  </property>
</Properties>
</file>