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eastAsia="黑体"/>
          <w:sz w:val="28"/>
          <w:szCs w:val="28"/>
        </w:rPr>
      </w:pPr>
    </w:p>
    <w:p>
      <w:pPr>
        <w:spacing w:line="600" w:lineRule="exact"/>
        <w:jc w:val="center"/>
        <w:rPr>
          <w:rFonts w:eastAsia="方正小标宋简体"/>
          <w:sz w:val="44"/>
          <w:szCs w:val="44"/>
        </w:rPr>
      </w:pPr>
      <w:r>
        <w:rPr>
          <w:rFonts w:hint="eastAsia" w:eastAsia="方正小标宋简体"/>
          <w:spacing w:val="1"/>
          <w:w w:val="89"/>
          <w:kern w:val="0"/>
          <w:sz w:val="44"/>
          <w:szCs w:val="44"/>
          <w:fitText w:val="8360" w:id="315259036"/>
        </w:rPr>
        <w:t>2020</w:t>
      </w:r>
      <w:r>
        <w:rPr>
          <w:rFonts w:eastAsia="方正小标宋简体"/>
          <w:spacing w:val="1"/>
          <w:w w:val="89"/>
          <w:kern w:val="0"/>
          <w:sz w:val="44"/>
          <w:szCs w:val="44"/>
          <w:fitText w:val="8360" w:id="315259036"/>
        </w:rPr>
        <w:t>年度</w:t>
      </w:r>
      <w:r>
        <w:rPr>
          <w:rFonts w:hint="eastAsia" w:eastAsia="方正小标宋简体"/>
          <w:spacing w:val="1"/>
          <w:w w:val="89"/>
          <w:kern w:val="0"/>
          <w:sz w:val="44"/>
          <w:szCs w:val="44"/>
          <w:fitText w:val="8360" w:id="315259036"/>
        </w:rPr>
        <w:t>长沙县机关事务中心</w:t>
      </w:r>
      <w:r>
        <w:rPr>
          <w:rFonts w:eastAsia="方正小标宋简体"/>
          <w:spacing w:val="1"/>
          <w:w w:val="89"/>
          <w:kern w:val="0"/>
          <w:sz w:val="44"/>
          <w:szCs w:val="44"/>
          <w:fitText w:val="8360" w:id="315259036"/>
        </w:rPr>
        <w:t>（单位）整体支</w:t>
      </w:r>
      <w:r>
        <w:rPr>
          <w:rFonts w:eastAsia="方正小标宋简体"/>
          <w:spacing w:val="21"/>
          <w:w w:val="89"/>
          <w:kern w:val="0"/>
          <w:sz w:val="44"/>
          <w:szCs w:val="44"/>
          <w:fitText w:val="8360" w:id="315259036"/>
        </w:rPr>
        <w:t>出</w:t>
      </w:r>
    </w:p>
    <w:p>
      <w:pPr>
        <w:spacing w:line="600" w:lineRule="exact"/>
        <w:jc w:val="center"/>
        <w:rPr>
          <w:rFonts w:eastAsia="方正小标宋简体"/>
          <w:sz w:val="44"/>
          <w:szCs w:val="44"/>
        </w:rPr>
      </w:pPr>
      <w:r>
        <w:rPr>
          <w:rFonts w:eastAsia="方正小标宋简体"/>
          <w:sz w:val="44"/>
          <w:szCs w:val="44"/>
        </w:rPr>
        <w:t>绩效自评报告</w:t>
      </w:r>
    </w:p>
    <w:p>
      <w:pPr>
        <w:jc w:val="center"/>
        <w:rPr>
          <w:rFonts w:eastAsia="楷体_GB2312"/>
          <w:b/>
          <w:sz w:val="32"/>
          <w:szCs w:val="32"/>
        </w:rPr>
      </w:pPr>
    </w:p>
    <w:p>
      <w:pPr>
        <w:jc w:val="center"/>
        <w:rPr>
          <w:rFonts w:hint="eastAsia" w:eastAsia="黑体"/>
          <w:sz w:val="32"/>
          <w:szCs w:val="32"/>
          <w:lang w:eastAsia="zh-CN"/>
        </w:rPr>
      </w:pPr>
      <w:r>
        <w:rPr>
          <w:rFonts w:hint="eastAsia" w:eastAsia="楷体_GB2312"/>
          <w:b/>
          <w:sz w:val="32"/>
          <w:szCs w:val="32"/>
          <w:lang w:val="en-US" w:eastAsia="zh-CN"/>
        </w:rPr>
        <w:t xml:space="preserve"> </w:t>
      </w:r>
    </w:p>
    <w:p>
      <w:pPr>
        <w:jc w:val="center"/>
        <w:rPr>
          <w:rFonts w:eastAsia="黑体"/>
          <w:sz w:val="32"/>
          <w:szCs w:val="32"/>
        </w:rPr>
      </w:pPr>
    </w:p>
    <w:p>
      <w:pPr>
        <w:jc w:val="center"/>
        <w:rPr>
          <w:rFonts w:eastAsia="黑体"/>
          <w:sz w:val="32"/>
          <w:szCs w:val="32"/>
        </w:rPr>
      </w:pPr>
    </w:p>
    <w:p>
      <w:pPr>
        <w:jc w:val="center"/>
        <w:rPr>
          <w:rFonts w:eastAsia="黑体"/>
          <w:sz w:val="32"/>
          <w:szCs w:val="32"/>
        </w:rPr>
      </w:pPr>
    </w:p>
    <w:p>
      <w:pPr>
        <w:rPr>
          <w:rFonts w:eastAsia="黑体"/>
          <w:sz w:val="44"/>
          <w:szCs w:val="44"/>
        </w:rPr>
      </w:pPr>
    </w:p>
    <w:p>
      <w:pPr>
        <w:ind w:firstLine="880" w:firstLineChars="200"/>
        <w:jc w:val="center"/>
        <w:rPr>
          <w:rFonts w:eastAsia="黑体"/>
          <w:sz w:val="44"/>
          <w:szCs w:val="44"/>
        </w:rPr>
      </w:pPr>
    </w:p>
    <w:p>
      <w:pPr>
        <w:ind w:firstLine="880" w:firstLineChars="200"/>
        <w:jc w:val="center"/>
        <w:rPr>
          <w:rFonts w:eastAsia="黑体"/>
          <w:sz w:val="44"/>
          <w:szCs w:val="44"/>
        </w:rPr>
      </w:pPr>
    </w:p>
    <w:p>
      <w:pPr>
        <w:ind w:firstLine="880" w:firstLineChars="200"/>
        <w:jc w:val="center"/>
        <w:rPr>
          <w:rFonts w:eastAsia="黑体"/>
          <w:sz w:val="44"/>
          <w:szCs w:val="44"/>
        </w:rPr>
      </w:pPr>
    </w:p>
    <w:p>
      <w:pPr>
        <w:ind w:firstLine="880" w:firstLineChars="200"/>
        <w:jc w:val="center"/>
        <w:rPr>
          <w:rFonts w:eastAsia="黑体"/>
          <w:sz w:val="44"/>
          <w:szCs w:val="44"/>
        </w:rPr>
      </w:pPr>
    </w:p>
    <w:p>
      <w:pPr>
        <w:jc w:val="center"/>
        <w:rPr>
          <w:rFonts w:eastAsia="黑体"/>
          <w:sz w:val="36"/>
          <w:szCs w:val="36"/>
        </w:rPr>
      </w:pPr>
      <w:r>
        <w:rPr>
          <w:rFonts w:eastAsia="黑体"/>
          <w:sz w:val="36"/>
          <w:szCs w:val="36"/>
        </w:rPr>
        <w:t>单位名称（盖章）：</w:t>
      </w:r>
      <w:r>
        <w:rPr>
          <w:rFonts w:hint="eastAsia" w:eastAsia="黑体"/>
          <w:sz w:val="36"/>
          <w:szCs w:val="36"/>
        </w:rPr>
        <w:t>长沙县机关事务中心</w:t>
      </w:r>
    </w:p>
    <w:p>
      <w:pPr>
        <w:jc w:val="center"/>
        <w:rPr>
          <w:rFonts w:eastAsia="黑体"/>
          <w:sz w:val="36"/>
          <w:szCs w:val="36"/>
        </w:rPr>
      </w:pPr>
    </w:p>
    <w:p>
      <w:pPr>
        <w:ind w:firstLine="960" w:firstLineChars="300"/>
        <w:rPr>
          <w:rFonts w:eastAsia="黑体"/>
          <w:sz w:val="36"/>
          <w:szCs w:val="36"/>
        </w:rPr>
      </w:pPr>
      <w:r>
        <w:rPr>
          <w:rFonts w:hint="eastAsia" w:eastAsia="黑体"/>
          <w:sz w:val="32"/>
          <w:szCs w:val="32"/>
        </w:rPr>
        <w:t>单位负责人</w:t>
      </w:r>
      <w:r>
        <w:rPr>
          <w:rFonts w:eastAsia="黑体"/>
          <w:sz w:val="36"/>
          <w:szCs w:val="36"/>
        </w:rPr>
        <w:t>（盖章）：</w:t>
      </w:r>
      <w:r>
        <w:rPr>
          <w:rFonts w:hint="eastAsia" w:eastAsia="黑体"/>
          <w:sz w:val="36"/>
          <w:szCs w:val="36"/>
        </w:rPr>
        <w:t>周向阳</w:t>
      </w:r>
    </w:p>
    <w:p>
      <w:pPr>
        <w:rPr>
          <w:rFonts w:eastAsia="黑体"/>
          <w:sz w:val="32"/>
          <w:szCs w:val="32"/>
        </w:rPr>
      </w:pPr>
    </w:p>
    <w:p>
      <w:pPr>
        <w:rPr>
          <w:rFonts w:eastAsia="黑体"/>
          <w:sz w:val="32"/>
          <w:szCs w:val="32"/>
        </w:rPr>
      </w:pPr>
    </w:p>
    <w:p>
      <w:pPr>
        <w:jc w:val="center"/>
        <w:rPr>
          <w:rFonts w:eastAsia="仿宋_GB2312"/>
          <w:sz w:val="32"/>
          <w:szCs w:val="32"/>
        </w:rPr>
      </w:pPr>
      <w:r>
        <w:rPr>
          <w:rFonts w:eastAsia="仿宋_GB2312"/>
          <w:sz w:val="32"/>
          <w:szCs w:val="32"/>
        </w:rPr>
        <w:t>（此页为封面）</w:t>
      </w:r>
    </w:p>
    <w:p>
      <w:pPr>
        <w:spacing w:line="560" w:lineRule="exact"/>
        <w:jc w:val="center"/>
        <w:rPr>
          <w:rFonts w:hint="eastAsia" w:ascii="方正小标宋简体" w:hAnsi="宋体" w:eastAsia="方正小标宋简体" w:cs="宋体"/>
          <w:bCs/>
          <w:color w:val="000000"/>
          <w:sz w:val="44"/>
          <w:szCs w:val="52"/>
        </w:rPr>
      </w:pPr>
    </w:p>
    <w:p>
      <w:pPr>
        <w:spacing w:line="560" w:lineRule="exact"/>
        <w:jc w:val="center"/>
        <w:rPr>
          <w:rFonts w:hint="eastAsia" w:ascii="方正小标宋简体" w:hAnsi="宋体" w:eastAsia="方正小标宋简体" w:cs="宋体"/>
          <w:bCs/>
          <w:color w:val="000000"/>
          <w:sz w:val="44"/>
          <w:szCs w:val="52"/>
        </w:rPr>
      </w:pPr>
    </w:p>
    <w:p>
      <w:pPr>
        <w:spacing w:line="560" w:lineRule="exact"/>
        <w:jc w:val="center"/>
        <w:rPr>
          <w:rFonts w:hint="eastAsia" w:ascii="方正小标宋简体" w:hAnsi="宋体" w:eastAsia="方正小标宋简体" w:cs="宋体"/>
          <w:bCs/>
          <w:color w:val="000000"/>
          <w:sz w:val="44"/>
          <w:szCs w:val="52"/>
        </w:rPr>
      </w:pPr>
    </w:p>
    <w:p>
      <w:pPr>
        <w:spacing w:line="560" w:lineRule="exact"/>
        <w:jc w:val="center"/>
        <w:rPr>
          <w:rFonts w:hint="eastAsia" w:ascii="方正小标宋简体" w:hAnsi="仿宋" w:eastAsia="方正小标宋简体"/>
          <w:color w:val="000000"/>
          <w:sz w:val="36"/>
          <w:szCs w:val="44"/>
        </w:rPr>
      </w:pPr>
      <w:r>
        <w:rPr>
          <w:rFonts w:hint="eastAsia" w:ascii="方正小标宋简体" w:hAnsi="宋体" w:eastAsia="方正小标宋简体" w:cs="宋体"/>
          <w:bCs/>
          <w:color w:val="000000"/>
          <w:sz w:val="44"/>
          <w:szCs w:val="52"/>
        </w:rPr>
        <w:t>部门整体支出绩效自评报告</w:t>
      </w:r>
    </w:p>
    <w:p>
      <w:pPr>
        <w:spacing w:line="560" w:lineRule="exact"/>
        <w:outlineLvl w:val="0"/>
        <w:rPr>
          <w:rFonts w:ascii="仿宋" w:hAnsi="仿宋" w:eastAsia="仿宋"/>
          <w:color w:val="000000"/>
          <w:sz w:val="18"/>
          <w:szCs w:val="18"/>
        </w:rPr>
      </w:pPr>
    </w:p>
    <w:p>
      <w:pPr>
        <w:spacing w:line="560" w:lineRule="exact"/>
        <w:ind w:firstLine="640" w:firstLineChars="200"/>
        <w:outlineLvl w:val="0"/>
        <w:rPr>
          <w:rFonts w:hint="eastAsia" w:ascii="黑体" w:hAnsi="黑体" w:eastAsia="黑体"/>
          <w:color w:val="000000"/>
          <w:sz w:val="32"/>
          <w:szCs w:val="32"/>
        </w:rPr>
      </w:pPr>
      <w:r>
        <w:rPr>
          <w:rFonts w:hint="eastAsia" w:ascii="黑体" w:hAnsi="黑体" w:eastAsia="黑体"/>
          <w:bCs/>
          <w:color w:val="000000"/>
          <w:sz w:val="32"/>
          <w:szCs w:val="32"/>
        </w:rPr>
        <w:t>一、部门基本情况</w:t>
      </w:r>
    </w:p>
    <w:p>
      <w:pPr>
        <w:spacing w:line="560" w:lineRule="exact"/>
        <w:ind w:firstLine="482" w:firstLineChars="150"/>
        <w:outlineLvl w:val="0"/>
        <w:rPr>
          <w:rFonts w:hint="eastAsia" w:ascii="黑体" w:hAnsi="黑体" w:eastAsia="黑体"/>
          <w:b/>
          <w:color w:val="000000"/>
          <w:sz w:val="32"/>
          <w:szCs w:val="32"/>
        </w:rPr>
      </w:pPr>
      <w:r>
        <w:rPr>
          <w:rFonts w:hint="eastAsia" w:ascii="仿宋" w:hAnsi="仿宋" w:eastAsia="仿宋"/>
          <w:b/>
          <w:bCs/>
          <w:color w:val="000000"/>
          <w:sz w:val="32"/>
          <w:szCs w:val="32"/>
        </w:rPr>
        <w:t>（一）部门的职能职责</w:t>
      </w:r>
    </w:p>
    <w:p>
      <w:pPr>
        <w:spacing w:line="560" w:lineRule="exact"/>
        <w:ind w:firstLine="640" w:firstLineChars="200"/>
        <w:outlineLvl w:val="0"/>
        <w:rPr>
          <w:rFonts w:hint="eastAsia" w:ascii="黑体" w:hAnsi="黑体" w:eastAsia="黑体"/>
          <w:color w:val="000000"/>
          <w:sz w:val="32"/>
          <w:szCs w:val="32"/>
        </w:rPr>
      </w:pPr>
      <w:r>
        <w:rPr>
          <w:rFonts w:hint="eastAsia" w:ascii="仿宋" w:hAnsi="仿宋" w:eastAsia="仿宋"/>
          <w:bCs/>
          <w:kern w:val="0"/>
          <w:sz w:val="32"/>
          <w:szCs w:val="32"/>
        </w:rPr>
        <w:t>一、负责本级机关的机关事务保障和服务工作，制定本级机关后勤保障服务制度，确定机关后勤服务项目和标准，维护机关工作正常秩序。</w:t>
      </w:r>
    </w:p>
    <w:p>
      <w:pPr>
        <w:spacing w:line="560" w:lineRule="exact"/>
        <w:ind w:firstLine="640" w:firstLineChars="200"/>
        <w:outlineLvl w:val="0"/>
        <w:rPr>
          <w:rFonts w:hint="eastAsia" w:ascii="黑体" w:hAnsi="黑体" w:eastAsia="黑体"/>
          <w:color w:val="000000"/>
          <w:sz w:val="32"/>
          <w:szCs w:val="32"/>
        </w:rPr>
      </w:pPr>
      <w:r>
        <w:rPr>
          <w:rFonts w:hint="eastAsia" w:ascii="仿宋" w:hAnsi="仿宋" w:eastAsia="仿宋"/>
          <w:bCs/>
          <w:kern w:val="0"/>
          <w:sz w:val="32"/>
          <w:szCs w:val="32"/>
        </w:rPr>
        <w:t>二、负责全县党政机关办公用房的使用指导，负责县直机关院落办公用房、附属用房、相关土地资产权属的调配、处置，以及办公用房和附属设施、设备的维护维修与改造工作。负责全县机关单位的货物、服务类政府采购工作。负责组织实施机关资产的管理和处置。</w:t>
      </w:r>
    </w:p>
    <w:p>
      <w:pPr>
        <w:spacing w:line="560" w:lineRule="exact"/>
        <w:ind w:firstLine="640" w:firstLineChars="200"/>
        <w:outlineLvl w:val="0"/>
        <w:rPr>
          <w:rFonts w:ascii="黑体" w:hAnsi="黑体" w:eastAsia="黑体"/>
          <w:color w:val="000000"/>
          <w:sz w:val="32"/>
          <w:szCs w:val="32"/>
        </w:rPr>
      </w:pPr>
      <w:r>
        <w:rPr>
          <w:rFonts w:hint="eastAsia" w:ascii="仿宋" w:hAnsi="仿宋" w:eastAsia="仿宋"/>
          <w:bCs/>
          <w:kern w:val="0"/>
          <w:sz w:val="32"/>
          <w:szCs w:val="32"/>
        </w:rPr>
        <w:t>三、负责由本单位管辖的县直办公院落安保等职责范围内的安全生产工作，协助相关部门维护县委、县政府大院的环境稳定。</w:t>
      </w:r>
    </w:p>
    <w:p>
      <w:pPr>
        <w:widowControl/>
        <w:spacing w:line="560" w:lineRule="exact"/>
        <w:ind w:firstLine="640" w:firstLineChars="200"/>
        <w:rPr>
          <w:rFonts w:ascii="仿宋" w:hAnsi="仿宋" w:eastAsia="仿宋"/>
          <w:bCs/>
          <w:kern w:val="0"/>
          <w:sz w:val="32"/>
          <w:szCs w:val="32"/>
        </w:rPr>
      </w:pPr>
      <w:r>
        <w:rPr>
          <w:rFonts w:hint="eastAsia" w:ascii="仿宋" w:hAnsi="仿宋" w:eastAsia="仿宋"/>
          <w:bCs/>
          <w:kern w:val="0"/>
          <w:sz w:val="32"/>
          <w:szCs w:val="32"/>
        </w:rPr>
        <w:t>四、负责由本单位管辖的县直办公院落的物业管理，指导考评物业服务单位的工作，负责县直机关单位的卫生健康服务工作。</w:t>
      </w:r>
    </w:p>
    <w:p>
      <w:pPr>
        <w:widowControl/>
        <w:spacing w:line="560" w:lineRule="exact"/>
        <w:ind w:firstLine="640" w:firstLineChars="200"/>
        <w:rPr>
          <w:rFonts w:ascii="仿宋" w:hAnsi="仿宋" w:eastAsia="仿宋"/>
          <w:bCs/>
          <w:kern w:val="0"/>
          <w:sz w:val="32"/>
          <w:szCs w:val="32"/>
        </w:rPr>
      </w:pPr>
      <w:r>
        <w:rPr>
          <w:rFonts w:hint="eastAsia" w:ascii="仿宋" w:hAnsi="仿宋" w:eastAsia="仿宋"/>
          <w:bCs/>
          <w:kern w:val="0"/>
          <w:sz w:val="32"/>
          <w:szCs w:val="32"/>
        </w:rPr>
        <w:t>五、负责全县公务用车平台的车辆及驾驶员日常管理；负责指导全县公务租赁用车的使用、报备。</w:t>
      </w:r>
    </w:p>
    <w:p>
      <w:pPr>
        <w:widowControl/>
        <w:spacing w:line="560" w:lineRule="exact"/>
        <w:ind w:firstLine="640" w:firstLineChars="200"/>
        <w:rPr>
          <w:rFonts w:ascii="仿宋" w:hAnsi="仿宋" w:eastAsia="仿宋"/>
          <w:bCs/>
          <w:kern w:val="0"/>
          <w:sz w:val="32"/>
          <w:szCs w:val="32"/>
        </w:rPr>
      </w:pPr>
      <w:r>
        <w:rPr>
          <w:rFonts w:hint="eastAsia" w:ascii="仿宋" w:hAnsi="仿宋" w:eastAsia="仿宋"/>
          <w:bCs/>
          <w:kern w:val="0"/>
          <w:sz w:val="32"/>
          <w:szCs w:val="32"/>
        </w:rPr>
        <w:t>六、负责县委、县人大、县政府、县政协交办的会议服务保障工作，负责由本单位管辖的机关干部职工食堂的运营指导和协调。</w:t>
      </w:r>
    </w:p>
    <w:p>
      <w:pPr>
        <w:spacing w:line="560" w:lineRule="exact"/>
        <w:ind w:firstLine="640"/>
        <w:outlineLvl w:val="0"/>
        <w:rPr>
          <w:rFonts w:hint="eastAsia" w:ascii="仿宋" w:hAnsi="仿宋" w:eastAsia="仿宋"/>
          <w:bCs/>
          <w:color w:val="000000"/>
          <w:sz w:val="32"/>
          <w:szCs w:val="32"/>
        </w:rPr>
      </w:pPr>
      <w:r>
        <w:rPr>
          <w:rFonts w:hint="eastAsia" w:ascii="仿宋" w:hAnsi="仿宋" w:eastAsia="仿宋"/>
          <w:bCs/>
          <w:kern w:val="0"/>
          <w:sz w:val="32"/>
          <w:szCs w:val="32"/>
        </w:rPr>
        <w:t>七、完成县委、县政府交办的其他任务。</w:t>
      </w:r>
    </w:p>
    <w:p>
      <w:pPr>
        <w:spacing w:line="560" w:lineRule="exact"/>
        <w:ind w:firstLine="482" w:firstLineChars="150"/>
        <w:outlineLvl w:val="0"/>
        <w:rPr>
          <w:rFonts w:hint="eastAsia" w:ascii="仿宋" w:hAnsi="仿宋" w:eastAsia="仿宋"/>
          <w:b/>
          <w:bCs/>
          <w:color w:val="000000"/>
          <w:sz w:val="32"/>
          <w:szCs w:val="32"/>
        </w:rPr>
      </w:pPr>
      <w:r>
        <w:rPr>
          <w:rFonts w:hint="eastAsia" w:ascii="仿宋" w:hAnsi="仿宋" w:eastAsia="仿宋"/>
          <w:b/>
          <w:bCs/>
          <w:color w:val="000000"/>
          <w:sz w:val="32"/>
          <w:szCs w:val="32"/>
        </w:rPr>
        <w:t>（二）部门的年度预算绩效目标</w:t>
      </w:r>
    </w:p>
    <w:p>
      <w:pPr>
        <w:spacing w:line="560" w:lineRule="exact"/>
        <w:ind w:firstLine="640"/>
        <w:outlineLvl w:val="0"/>
        <w:rPr>
          <w:rFonts w:ascii="仿宋" w:hAnsi="仿宋" w:eastAsia="仿宋"/>
          <w:bCs/>
          <w:color w:val="000000"/>
          <w:sz w:val="28"/>
          <w:szCs w:val="28"/>
        </w:rPr>
      </w:pPr>
      <w:r>
        <w:rPr>
          <w:rFonts w:hint="eastAsia" w:ascii="仿宋" w:hAnsi="仿宋" w:eastAsia="仿宋"/>
          <w:bCs/>
          <w:color w:val="000000"/>
          <w:sz w:val="32"/>
          <w:szCs w:val="32"/>
        </w:rPr>
        <w:t>确保完成以下整体目标：1.进一步加强资产的管理，明确具体负责人，完善固定资产档案，严格报批、销审等手续，做好资产登记统计工作；2.贯彻落实上级有关精神，进一步</w:t>
      </w:r>
      <w:r>
        <w:rPr>
          <w:rFonts w:hint="eastAsia" w:ascii="仿宋" w:hAnsi="仿宋" w:eastAsia="仿宋"/>
          <w:bCs/>
          <w:color w:val="000000"/>
          <w:sz w:val="28"/>
          <w:szCs w:val="28"/>
        </w:rPr>
        <w:t>加强内部管理，严格控制“三公经费”。</w:t>
      </w:r>
    </w:p>
    <w:p>
      <w:pPr>
        <w:spacing w:line="560" w:lineRule="exact"/>
        <w:ind w:firstLine="640"/>
        <w:outlineLvl w:val="0"/>
        <w:rPr>
          <w:rFonts w:ascii="仿宋" w:hAnsi="仿宋" w:eastAsia="仿宋"/>
          <w:bCs/>
          <w:color w:val="000000"/>
          <w:sz w:val="28"/>
          <w:szCs w:val="28"/>
        </w:rPr>
      </w:pPr>
      <w:r>
        <w:rPr>
          <w:rFonts w:hint="eastAsia" w:ascii="仿宋" w:hAnsi="仿宋" w:eastAsia="仿宋"/>
          <w:bCs/>
          <w:color w:val="000000"/>
          <w:sz w:val="28"/>
          <w:szCs w:val="28"/>
        </w:rPr>
        <w:t>项目绩效总目标：机关大院安保管理、机关大院交通管理、食堂食品安全及生产消防等工作的监管、会议服务管理、水电管理、环境卫生管理等各项业务工作任务圆满完成。</w:t>
      </w:r>
    </w:p>
    <w:p>
      <w:pPr>
        <w:spacing w:line="560" w:lineRule="exact"/>
        <w:ind w:firstLine="640"/>
        <w:outlineLvl w:val="0"/>
        <w:rPr>
          <w:rFonts w:ascii="仿宋" w:hAnsi="仿宋" w:eastAsia="仿宋"/>
          <w:bCs/>
          <w:color w:val="000000"/>
          <w:sz w:val="32"/>
          <w:szCs w:val="32"/>
        </w:rPr>
      </w:pPr>
      <w:r>
        <w:rPr>
          <w:rFonts w:hint="eastAsia" w:ascii="仿宋" w:hAnsi="仿宋" w:eastAsia="仿宋"/>
          <w:bCs/>
          <w:color w:val="000000"/>
          <w:sz w:val="32"/>
          <w:szCs w:val="32"/>
        </w:rPr>
        <w:t>目标1：负责机关后勤保障和服务工作，确保县委县政府及县直机关14个办公院落的安保管理和日常维修维护工作，保障行政机关日常办公正常运转。</w:t>
      </w:r>
    </w:p>
    <w:p>
      <w:pPr>
        <w:spacing w:line="560" w:lineRule="exact"/>
        <w:ind w:firstLine="640"/>
        <w:outlineLvl w:val="0"/>
        <w:rPr>
          <w:rFonts w:ascii="仿宋" w:hAnsi="仿宋" w:eastAsia="仿宋"/>
          <w:bCs/>
          <w:color w:val="000000"/>
          <w:sz w:val="32"/>
          <w:szCs w:val="32"/>
        </w:rPr>
      </w:pPr>
      <w:r>
        <w:rPr>
          <w:rFonts w:hint="eastAsia" w:ascii="仿宋" w:hAnsi="仿宋" w:eastAsia="仿宋"/>
          <w:bCs/>
          <w:color w:val="000000"/>
          <w:sz w:val="32"/>
          <w:szCs w:val="32"/>
        </w:rPr>
        <w:t>目标2：负责机关事务中心管辖范围内行政机关大院（共14个院落）的物业管理，水电气费用，保障行政机关日常办公正常运转。</w:t>
      </w:r>
    </w:p>
    <w:p>
      <w:pPr>
        <w:spacing w:line="560" w:lineRule="exact"/>
        <w:ind w:firstLine="640"/>
        <w:outlineLvl w:val="0"/>
        <w:rPr>
          <w:rFonts w:ascii="仿宋" w:hAnsi="仿宋" w:eastAsia="仿宋"/>
          <w:bCs/>
          <w:color w:val="000000"/>
          <w:sz w:val="32"/>
          <w:szCs w:val="32"/>
        </w:rPr>
      </w:pPr>
      <w:r>
        <w:rPr>
          <w:rFonts w:hint="eastAsia" w:ascii="仿宋" w:hAnsi="仿宋" w:eastAsia="仿宋"/>
          <w:bCs/>
          <w:color w:val="000000"/>
          <w:sz w:val="32"/>
          <w:szCs w:val="32"/>
        </w:rPr>
        <w:t>目标3：公车服务：确保公务用车管理平台的正常运转。公务用车服务平台自2016年12月成立以来，平台车辆实行标识化监管，集中管理，统一调度，有偿使用，重点保障县领导公务、调研等用车保障工作。</w:t>
      </w:r>
    </w:p>
    <w:p>
      <w:pPr>
        <w:spacing w:line="560" w:lineRule="exact"/>
        <w:ind w:firstLine="640"/>
        <w:outlineLvl w:val="0"/>
        <w:rPr>
          <w:rFonts w:ascii="仿宋" w:hAnsi="仿宋" w:eastAsia="仿宋"/>
          <w:bCs/>
          <w:color w:val="000000"/>
          <w:sz w:val="32"/>
          <w:szCs w:val="32"/>
        </w:rPr>
      </w:pPr>
      <w:r>
        <w:rPr>
          <w:rFonts w:hint="eastAsia" w:ascii="仿宋" w:hAnsi="仿宋" w:eastAsia="仿宋"/>
          <w:bCs/>
          <w:color w:val="000000"/>
          <w:sz w:val="32"/>
          <w:szCs w:val="32"/>
        </w:rPr>
        <w:t>目标4：食堂食品安全监管：通过项目实施，保障机关干部职工就餐，加大宣传力度，减少浪费，推动机关健康事业的发展，打造幸福机关。</w:t>
      </w:r>
    </w:p>
    <w:p>
      <w:pPr>
        <w:spacing w:line="560" w:lineRule="exact"/>
        <w:ind w:firstLine="640"/>
        <w:outlineLvl w:val="0"/>
        <w:rPr>
          <w:rFonts w:ascii="仿宋" w:hAnsi="仿宋" w:eastAsia="仿宋"/>
          <w:bCs/>
          <w:color w:val="000000"/>
          <w:sz w:val="32"/>
          <w:szCs w:val="32"/>
        </w:rPr>
      </w:pPr>
      <w:r>
        <w:rPr>
          <w:rFonts w:hint="eastAsia" w:ascii="仿宋" w:hAnsi="仿宋" w:eastAsia="仿宋"/>
          <w:bCs/>
          <w:color w:val="000000"/>
          <w:sz w:val="32"/>
          <w:szCs w:val="32"/>
        </w:rPr>
        <w:t>目标5：会议服务：减少一次性杯子的使用，确保满足政府机关和县直单位长期的会场使用需求。</w:t>
      </w:r>
    </w:p>
    <w:p>
      <w:pPr>
        <w:spacing w:line="560" w:lineRule="exact"/>
        <w:ind w:firstLine="640" w:firstLineChars="200"/>
        <w:outlineLvl w:val="0"/>
        <w:rPr>
          <w:rFonts w:ascii="黑体" w:hAnsi="黑体" w:eastAsia="黑体"/>
          <w:bCs/>
          <w:color w:val="000000"/>
          <w:sz w:val="32"/>
          <w:szCs w:val="32"/>
        </w:rPr>
      </w:pPr>
      <w:r>
        <w:rPr>
          <w:rFonts w:hint="eastAsia" w:ascii="黑体" w:hAnsi="黑体" w:eastAsia="黑体"/>
          <w:bCs/>
          <w:color w:val="000000"/>
          <w:sz w:val="32"/>
          <w:szCs w:val="32"/>
        </w:rPr>
        <w:t>二、部门整体支出管理及使用情况</w:t>
      </w:r>
    </w:p>
    <w:p>
      <w:pPr>
        <w:spacing w:line="560" w:lineRule="exact"/>
        <w:ind w:firstLine="640"/>
        <w:outlineLvl w:val="0"/>
        <w:rPr>
          <w:rFonts w:ascii="仿宋" w:hAnsi="仿宋" w:eastAsia="仿宋"/>
          <w:b/>
          <w:bCs/>
          <w:color w:val="000000"/>
          <w:sz w:val="32"/>
          <w:szCs w:val="32"/>
        </w:rPr>
      </w:pPr>
      <w:r>
        <w:rPr>
          <w:rFonts w:hint="eastAsia" w:ascii="仿宋" w:hAnsi="仿宋" w:eastAsia="仿宋"/>
          <w:b/>
          <w:bCs/>
          <w:color w:val="000000"/>
          <w:sz w:val="32"/>
          <w:szCs w:val="32"/>
        </w:rPr>
        <w:t>（一）基本支出情况。</w:t>
      </w:r>
    </w:p>
    <w:p>
      <w:pPr>
        <w:spacing w:line="560" w:lineRule="exact"/>
        <w:ind w:firstLine="640"/>
        <w:outlineLvl w:val="0"/>
        <w:rPr>
          <w:rFonts w:ascii="仿宋" w:hAnsi="仿宋" w:eastAsia="仿宋"/>
          <w:bCs/>
          <w:color w:val="000000"/>
          <w:sz w:val="32"/>
          <w:szCs w:val="32"/>
        </w:rPr>
      </w:pPr>
      <w:r>
        <w:rPr>
          <w:rFonts w:ascii="仿宋" w:hAnsi="仿宋" w:eastAsia="仿宋"/>
          <w:sz w:val="32"/>
          <w:szCs w:val="32"/>
        </w:rPr>
        <w:t>基本支出：2020年年初预算数为</w:t>
      </w:r>
      <w:r>
        <w:rPr>
          <w:rFonts w:hint="eastAsia" w:ascii="仿宋" w:hAnsi="仿宋" w:eastAsia="仿宋"/>
          <w:sz w:val="32"/>
          <w:szCs w:val="32"/>
        </w:rPr>
        <w:t>812.35</w:t>
      </w:r>
      <w:r>
        <w:rPr>
          <w:rFonts w:ascii="仿宋" w:hAnsi="仿宋" w:eastAsia="仿宋"/>
          <w:sz w:val="32"/>
          <w:szCs w:val="32"/>
        </w:rPr>
        <w:t>万元，是指为保障单位机构正常运转、完成日常工作任务而发生的各项支出，包括用于基本工资、津贴补贴等人员经费以及办公费、印刷费、水电费、办公设备购置等日常公用经费。</w:t>
      </w:r>
    </w:p>
    <w:p>
      <w:pPr>
        <w:numPr>
          <w:ilvl w:val="0"/>
          <w:numId w:val="1"/>
        </w:numPr>
        <w:spacing w:line="560" w:lineRule="exact"/>
        <w:ind w:firstLine="643" w:firstLineChars="200"/>
        <w:outlineLvl w:val="0"/>
        <w:rPr>
          <w:rFonts w:ascii="仿宋" w:hAnsi="仿宋" w:eastAsia="仿宋"/>
          <w:b/>
          <w:bCs/>
          <w:color w:val="000000"/>
          <w:sz w:val="32"/>
          <w:szCs w:val="32"/>
        </w:rPr>
      </w:pPr>
      <w:r>
        <w:rPr>
          <w:rFonts w:hint="eastAsia" w:ascii="仿宋" w:hAnsi="仿宋" w:eastAsia="仿宋"/>
          <w:b/>
          <w:bCs/>
          <w:color w:val="000000"/>
          <w:sz w:val="32"/>
          <w:szCs w:val="32"/>
        </w:rPr>
        <w:t>项目支出（包括项目资金、项目资金使用情况、项目资金管理情况）</w:t>
      </w:r>
    </w:p>
    <w:p>
      <w:pPr>
        <w:spacing w:line="560" w:lineRule="exact"/>
        <w:ind w:firstLine="640" w:firstLineChars="200"/>
        <w:outlineLvl w:val="0"/>
        <w:rPr>
          <w:rFonts w:ascii="仿宋" w:hAnsi="仿宋" w:eastAsia="仿宋"/>
          <w:bCs/>
          <w:color w:val="000000"/>
          <w:sz w:val="32"/>
          <w:szCs w:val="32"/>
        </w:rPr>
      </w:pPr>
      <w:r>
        <w:rPr>
          <w:rFonts w:ascii="仿宋" w:hAnsi="仿宋" w:eastAsia="仿宋"/>
          <w:sz w:val="32"/>
          <w:szCs w:val="32"/>
        </w:rPr>
        <w:t>2020年年初预算数为</w:t>
      </w:r>
      <w:r>
        <w:rPr>
          <w:rFonts w:hint="eastAsia" w:ascii="仿宋" w:hAnsi="仿宋" w:eastAsia="仿宋"/>
          <w:sz w:val="32"/>
          <w:szCs w:val="32"/>
        </w:rPr>
        <w:t>11194.39</w:t>
      </w:r>
      <w:r>
        <w:rPr>
          <w:rFonts w:ascii="仿宋" w:hAnsi="仿宋" w:eastAsia="仿宋"/>
          <w:sz w:val="32"/>
          <w:szCs w:val="32"/>
        </w:rPr>
        <w:t>万元，是指单位为完成特定行政工作任务或事业发展目标而发生的支出，包括有关事业发展专项、专项业务费、基本建设支出等。其中：</w:t>
      </w:r>
      <w:r>
        <w:rPr>
          <w:rFonts w:hint="eastAsia" w:ascii="仿宋" w:hAnsi="仿宋" w:eastAsia="仿宋"/>
          <w:sz w:val="32"/>
          <w:szCs w:val="32"/>
        </w:rPr>
        <w:t>一般项目</w:t>
      </w:r>
      <w:r>
        <w:rPr>
          <w:rFonts w:ascii="仿宋" w:hAnsi="仿宋" w:eastAsia="仿宋"/>
          <w:sz w:val="32"/>
          <w:szCs w:val="32"/>
        </w:rPr>
        <w:t>支出</w:t>
      </w:r>
      <w:r>
        <w:rPr>
          <w:rFonts w:hint="eastAsia" w:ascii="仿宋" w:hAnsi="仿宋" w:eastAsia="仿宋"/>
          <w:sz w:val="32"/>
          <w:szCs w:val="32"/>
        </w:rPr>
        <w:t>10144.39</w:t>
      </w:r>
      <w:r>
        <w:rPr>
          <w:rFonts w:ascii="仿宋" w:hAnsi="仿宋" w:eastAsia="仿宋"/>
          <w:sz w:val="32"/>
          <w:szCs w:val="32"/>
        </w:rPr>
        <w:t>万元，主要用于</w:t>
      </w:r>
      <w:r>
        <w:rPr>
          <w:rFonts w:hint="eastAsia" w:ascii="仿宋" w:hAnsi="仿宋" w:eastAsia="仿宋"/>
          <w:sz w:val="32"/>
          <w:szCs w:val="32"/>
        </w:rPr>
        <w:t>机关事务中心所辖院落物业管理费</w:t>
      </w:r>
      <w:r>
        <w:rPr>
          <w:rFonts w:ascii="仿宋" w:hAnsi="仿宋" w:eastAsia="仿宋"/>
          <w:sz w:val="32"/>
          <w:szCs w:val="32"/>
        </w:rPr>
        <w:t>、</w:t>
      </w:r>
      <w:r>
        <w:rPr>
          <w:rFonts w:hint="eastAsia" w:ascii="仿宋" w:hAnsi="仿宋" w:eastAsia="仿宋"/>
          <w:sz w:val="32"/>
          <w:szCs w:val="32"/>
        </w:rPr>
        <w:t>所辖院落租金、县直机关14个院落水电气费用、平台管理公务用车运行经费、党政机关办公院落日常维修抢修（含采购）、县委县政府机关大院中央空调改造、垃圾分类专项工作经费</w:t>
      </w:r>
      <w:r>
        <w:rPr>
          <w:rFonts w:ascii="仿宋" w:hAnsi="仿宋" w:eastAsia="仿宋"/>
          <w:sz w:val="32"/>
          <w:szCs w:val="32"/>
        </w:rPr>
        <w:t>等方面；</w:t>
      </w:r>
      <w:r>
        <w:rPr>
          <w:rFonts w:hint="eastAsia" w:ascii="仿宋" w:hAnsi="仿宋" w:eastAsia="仿宋"/>
          <w:sz w:val="32"/>
          <w:szCs w:val="32"/>
        </w:rPr>
        <w:t>基本建设项目</w:t>
      </w:r>
      <w:r>
        <w:rPr>
          <w:rFonts w:ascii="仿宋" w:hAnsi="仿宋" w:eastAsia="仿宋"/>
          <w:sz w:val="32"/>
          <w:szCs w:val="32"/>
        </w:rPr>
        <w:t>支出</w:t>
      </w:r>
      <w:r>
        <w:rPr>
          <w:rFonts w:hint="eastAsia" w:ascii="仿宋" w:hAnsi="仿宋" w:eastAsia="仿宋"/>
          <w:sz w:val="32"/>
          <w:szCs w:val="32"/>
        </w:rPr>
        <w:t>1050</w:t>
      </w:r>
      <w:r>
        <w:rPr>
          <w:rFonts w:ascii="仿宋" w:hAnsi="仿宋" w:eastAsia="仿宋"/>
          <w:sz w:val="32"/>
          <w:szCs w:val="32"/>
        </w:rPr>
        <w:t>万元，主要用于</w:t>
      </w:r>
      <w:r>
        <w:rPr>
          <w:rFonts w:hint="eastAsia" w:ascii="仿宋" w:hAnsi="仿宋" w:eastAsia="仿宋"/>
          <w:sz w:val="32"/>
          <w:szCs w:val="32"/>
        </w:rPr>
        <w:t>党政机关办公院落日常维修维护、2020年前已完工需要支付尾款项目</w:t>
      </w:r>
      <w:r>
        <w:rPr>
          <w:rFonts w:ascii="仿宋" w:hAnsi="仿宋" w:eastAsia="仿宋"/>
          <w:sz w:val="32"/>
          <w:szCs w:val="32"/>
        </w:rPr>
        <w:t>。</w:t>
      </w:r>
    </w:p>
    <w:p>
      <w:pPr>
        <w:numPr>
          <w:ilvl w:val="0"/>
          <w:numId w:val="1"/>
        </w:numPr>
        <w:spacing w:line="560" w:lineRule="exact"/>
        <w:ind w:firstLine="643" w:firstLineChars="200"/>
        <w:outlineLvl w:val="0"/>
        <w:rPr>
          <w:rFonts w:ascii="仿宋" w:hAnsi="仿宋" w:eastAsia="仿宋"/>
          <w:b/>
          <w:bCs/>
          <w:color w:val="000000"/>
          <w:sz w:val="32"/>
          <w:szCs w:val="32"/>
        </w:rPr>
      </w:pPr>
      <w:r>
        <w:rPr>
          <w:rFonts w:hint="eastAsia" w:ascii="仿宋" w:hAnsi="仿宋" w:eastAsia="仿宋"/>
          <w:b/>
          <w:bCs/>
          <w:color w:val="000000"/>
          <w:sz w:val="32"/>
          <w:szCs w:val="32"/>
        </w:rPr>
        <w:t>“三公”经费使用情况</w:t>
      </w:r>
    </w:p>
    <w:p>
      <w:pPr>
        <w:widowControl/>
        <w:spacing w:line="560" w:lineRule="exact"/>
        <w:ind w:firstLine="660"/>
        <w:rPr>
          <w:rFonts w:ascii="仿宋" w:hAnsi="仿宋" w:eastAsia="仿宋"/>
          <w:sz w:val="32"/>
          <w:szCs w:val="32"/>
        </w:rPr>
      </w:pPr>
      <w:r>
        <w:rPr>
          <w:rFonts w:ascii="仿宋" w:hAnsi="仿宋" w:eastAsia="仿宋"/>
          <w:sz w:val="32"/>
          <w:szCs w:val="32"/>
        </w:rPr>
        <w:t>2020年“三公”经费预算数为</w:t>
      </w:r>
      <w:r>
        <w:rPr>
          <w:rFonts w:hint="eastAsia" w:ascii="仿宋" w:hAnsi="仿宋" w:eastAsia="仿宋"/>
          <w:sz w:val="32"/>
          <w:szCs w:val="32"/>
        </w:rPr>
        <w:t>1942</w:t>
      </w:r>
      <w:r>
        <w:rPr>
          <w:rFonts w:ascii="仿宋" w:hAnsi="仿宋" w:eastAsia="仿宋"/>
          <w:sz w:val="32"/>
          <w:szCs w:val="32"/>
        </w:rPr>
        <w:t>万元，其中，公务接待费</w:t>
      </w:r>
      <w:r>
        <w:rPr>
          <w:rFonts w:hint="eastAsia" w:ascii="仿宋" w:hAnsi="仿宋" w:eastAsia="仿宋"/>
          <w:sz w:val="32"/>
          <w:szCs w:val="32"/>
        </w:rPr>
        <w:t>2</w:t>
      </w:r>
      <w:r>
        <w:rPr>
          <w:rFonts w:ascii="仿宋" w:hAnsi="仿宋" w:eastAsia="仿宋"/>
          <w:sz w:val="32"/>
          <w:szCs w:val="32"/>
        </w:rPr>
        <w:t>万元，公务用车购置及运行费</w:t>
      </w:r>
      <w:r>
        <w:rPr>
          <w:rFonts w:hint="eastAsia" w:ascii="仿宋" w:hAnsi="仿宋" w:eastAsia="仿宋"/>
          <w:sz w:val="32"/>
          <w:szCs w:val="32"/>
        </w:rPr>
        <w:t>1940</w:t>
      </w:r>
      <w:r>
        <w:rPr>
          <w:rFonts w:ascii="仿宋" w:hAnsi="仿宋" w:eastAsia="仿宋"/>
          <w:sz w:val="32"/>
          <w:szCs w:val="32"/>
        </w:rPr>
        <w:t>万元（其中，公务用车购置费</w:t>
      </w:r>
      <w:r>
        <w:rPr>
          <w:rFonts w:hint="eastAsia" w:ascii="仿宋" w:hAnsi="仿宋" w:eastAsia="仿宋"/>
          <w:sz w:val="32"/>
          <w:szCs w:val="32"/>
        </w:rPr>
        <w:t>0</w:t>
      </w:r>
      <w:r>
        <w:rPr>
          <w:rFonts w:ascii="仿宋" w:hAnsi="仿宋" w:eastAsia="仿宋"/>
          <w:sz w:val="32"/>
          <w:szCs w:val="32"/>
        </w:rPr>
        <w:t>万元，公务用车运行费</w:t>
      </w:r>
      <w:r>
        <w:rPr>
          <w:rFonts w:hint="eastAsia" w:ascii="仿宋" w:hAnsi="仿宋" w:eastAsia="仿宋"/>
          <w:sz w:val="32"/>
          <w:szCs w:val="32"/>
        </w:rPr>
        <w:t>1940</w:t>
      </w:r>
      <w:r>
        <w:rPr>
          <w:rFonts w:ascii="仿宋" w:hAnsi="仿宋" w:eastAsia="仿宋"/>
          <w:sz w:val="32"/>
          <w:szCs w:val="32"/>
        </w:rPr>
        <w:t>万元），因公出国（境）费</w:t>
      </w:r>
      <w:r>
        <w:rPr>
          <w:rFonts w:hint="eastAsia" w:ascii="仿宋" w:hAnsi="仿宋" w:eastAsia="仿宋"/>
          <w:sz w:val="32"/>
          <w:szCs w:val="32"/>
        </w:rPr>
        <w:t>0</w:t>
      </w:r>
      <w:r>
        <w:rPr>
          <w:rFonts w:ascii="仿宋" w:hAnsi="仿宋" w:eastAsia="仿宋"/>
          <w:sz w:val="32"/>
          <w:szCs w:val="32"/>
        </w:rPr>
        <w:t>万元。2020年“三公”经费预算较2019年</w:t>
      </w:r>
      <w:r>
        <w:rPr>
          <w:rFonts w:hint="eastAsia" w:ascii="仿宋" w:hAnsi="仿宋" w:eastAsia="仿宋"/>
          <w:sz w:val="32"/>
          <w:szCs w:val="32"/>
        </w:rPr>
        <w:t>增加731</w:t>
      </w:r>
      <w:r>
        <w:rPr>
          <w:rFonts w:ascii="仿宋" w:hAnsi="仿宋" w:eastAsia="仿宋"/>
          <w:sz w:val="32"/>
          <w:szCs w:val="32"/>
        </w:rPr>
        <w:t>万元，主要是</w:t>
      </w:r>
      <w:r>
        <w:rPr>
          <w:rFonts w:hint="eastAsia" w:ascii="仿宋" w:hAnsi="仿宋" w:eastAsia="仿宋"/>
          <w:sz w:val="32"/>
          <w:szCs w:val="32"/>
        </w:rPr>
        <w:t>增加了公务用车购置及运行费。增加原因:事业单位车改后预计增加车辆60台，增加驾驶员60人，预计增加预算731万元。</w:t>
      </w:r>
    </w:p>
    <w:p>
      <w:pPr>
        <w:spacing w:line="560" w:lineRule="exact"/>
        <w:ind w:firstLine="640" w:firstLineChars="200"/>
        <w:outlineLvl w:val="0"/>
        <w:rPr>
          <w:rFonts w:hint="eastAsia" w:ascii="黑体" w:hAnsi="黑体" w:eastAsia="黑体"/>
          <w:bCs/>
          <w:color w:val="000000"/>
          <w:sz w:val="32"/>
          <w:szCs w:val="32"/>
        </w:rPr>
      </w:pPr>
      <w:r>
        <w:rPr>
          <w:rFonts w:hint="eastAsia" w:ascii="黑体" w:hAnsi="黑体" w:eastAsia="黑体"/>
          <w:bCs/>
          <w:color w:val="000000"/>
          <w:sz w:val="32"/>
          <w:szCs w:val="32"/>
        </w:rPr>
        <w:t>三、部门整体支出绩效情况</w:t>
      </w:r>
    </w:p>
    <w:p>
      <w:pPr>
        <w:spacing w:line="560" w:lineRule="exact"/>
        <w:ind w:firstLine="480" w:firstLineChars="150"/>
        <w:outlineLvl w:val="0"/>
        <w:rPr>
          <w:rFonts w:ascii="黑体" w:hAnsi="黑体" w:eastAsia="黑体"/>
          <w:bCs/>
          <w:color w:val="000000"/>
          <w:sz w:val="32"/>
          <w:szCs w:val="32"/>
        </w:rPr>
      </w:pPr>
      <w:r>
        <w:rPr>
          <w:rFonts w:hint="eastAsia" w:ascii="仿宋" w:hAnsi="仿宋" w:eastAsia="仿宋"/>
          <w:bCs/>
          <w:color w:val="000000"/>
          <w:sz w:val="32"/>
          <w:szCs w:val="32"/>
        </w:rPr>
        <w:t>（一）自评结果及得分情况。</w:t>
      </w:r>
    </w:p>
    <w:p>
      <w:pPr>
        <w:spacing w:line="560" w:lineRule="exact"/>
        <w:ind w:firstLine="480" w:firstLineChars="150"/>
        <w:outlineLvl w:val="0"/>
        <w:rPr>
          <w:rFonts w:hint="eastAsia" w:ascii="仿宋" w:hAnsi="仿宋" w:eastAsia="仿宋"/>
          <w:bCs/>
          <w:color w:val="000000"/>
          <w:sz w:val="32"/>
          <w:szCs w:val="32"/>
        </w:rPr>
      </w:pPr>
      <w:r>
        <w:rPr>
          <w:rFonts w:hint="eastAsia" w:ascii="仿宋" w:hAnsi="仿宋" w:eastAsia="仿宋"/>
          <w:bCs/>
          <w:color w:val="000000"/>
          <w:sz w:val="32"/>
          <w:szCs w:val="32"/>
        </w:rPr>
        <w:t>我中心完成了大部分公共项目支出绩效指标，自评分为95.4分。</w:t>
      </w:r>
    </w:p>
    <w:p>
      <w:pPr>
        <w:spacing w:line="560" w:lineRule="exact"/>
        <w:ind w:firstLine="480" w:firstLineChars="150"/>
        <w:outlineLvl w:val="0"/>
        <w:rPr>
          <w:rFonts w:ascii="仿宋" w:hAnsi="仿宋" w:eastAsia="仿宋"/>
          <w:bCs/>
          <w:color w:val="000000"/>
          <w:sz w:val="32"/>
          <w:szCs w:val="32"/>
        </w:rPr>
      </w:pPr>
      <w:r>
        <w:rPr>
          <w:rFonts w:hint="eastAsia" w:ascii="仿宋" w:hAnsi="仿宋" w:eastAsia="仿宋"/>
          <w:bCs/>
          <w:color w:val="000000"/>
          <w:sz w:val="32"/>
          <w:szCs w:val="32"/>
        </w:rPr>
        <w:t>（二）预算配置评价（在职人员控制率、“三公经费”变动率等）。</w:t>
      </w:r>
    </w:p>
    <w:p>
      <w:pPr>
        <w:spacing w:line="560" w:lineRule="exact"/>
        <w:ind w:firstLine="640" w:firstLineChars="200"/>
        <w:outlineLvl w:val="0"/>
        <w:rPr>
          <w:rFonts w:ascii="仿宋" w:hAnsi="仿宋" w:eastAsia="仿宋"/>
          <w:bCs/>
          <w:color w:val="000000"/>
          <w:sz w:val="32"/>
          <w:szCs w:val="32"/>
        </w:rPr>
      </w:pPr>
      <w:r>
        <w:rPr>
          <w:rFonts w:hint="eastAsia" w:ascii="仿宋" w:hAnsi="仿宋" w:eastAsia="仿宋"/>
          <w:bCs/>
          <w:color w:val="000000"/>
          <w:sz w:val="32"/>
          <w:szCs w:val="32"/>
        </w:rPr>
        <w:t>我中心在职在编人数51人，全额拨款事业编制14名，领导职数为：主任1名，副主任2名；机关后勤服务全额拨款事业编制5名（人员只出不进）；长沙县公务用车服务中心，公益一类事业单位，核定全额拨款事业编制12名；长沙县机关后勤保障中心，公益一类事业单位，核定全额拨款事业编制20名。中心在职人员控制率为100%。三公经费变动率较上年减少21%，减少原因为：2020年公车平台公务用车运行费中剔除了平台驾驶员工资等人员费用和租车费用，比2019年减少196.38万元。</w:t>
      </w:r>
    </w:p>
    <w:p>
      <w:pPr>
        <w:numPr>
          <w:ilvl w:val="0"/>
          <w:numId w:val="2"/>
        </w:numPr>
        <w:spacing w:line="560" w:lineRule="exact"/>
        <w:ind w:firstLine="640" w:firstLineChars="200"/>
        <w:outlineLvl w:val="0"/>
        <w:rPr>
          <w:rFonts w:hint="eastAsia" w:ascii="仿宋" w:hAnsi="仿宋" w:eastAsia="仿宋"/>
          <w:bCs/>
          <w:color w:val="000000"/>
          <w:sz w:val="32"/>
          <w:szCs w:val="32"/>
        </w:rPr>
      </w:pPr>
      <w:r>
        <w:rPr>
          <w:rFonts w:hint="eastAsia" w:ascii="仿宋" w:hAnsi="仿宋" w:eastAsia="仿宋"/>
          <w:bCs/>
          <w:color w:val="000000"/>
          <w:sz w:val="32"/>
          <w:szCs w:val="32"/>
        </w:rPr>
        <w:t>预算执行评价（预算完成率、支付进度率、公用经费控制率、“三公经费”控制率、政府采购执行率等）。</w:t>
      </w:r>
    </w:p>
    <w:p>
      <w:pPr>
        <w:spacing w:line="560" w:lineRule="exact"/>
        <w:ind w:firstLine="480" w:firstLineChars="150"/>
        <w:outlineLvl w:val="0"/>
        <w:rPr>
          <w:rFonts w:ascii="仿宋" w:hAnsi="仿宋" w:eastAsia="仿宋"/>
          <w:bCs/>
          <w:color w:val="000000"/>
          <w:sz w:val="32"/>
          <w:szCs w:val="32"/>
        </w:rPr>
      </w:pPr>
      <w:r>
        <w:rPr>
          <w:rFonts w:hint="eastAsia" w:ascii="仿宋" w:hAnsi="仿宋" w:eastAsia="仿宋"/>
          <w:bCs/>
          <w:color w:val="000000"/>
          <w:sz w:val="32"/>
          <w:szCs w:val="32"/>
        </w:rPr>
        <w:t>我中心2020年年初预算数为：11194.39万元，</w:t>
      </w:r>
      <w:r>
        <w:rPr>
          <w:rFonts w:hint="eastAsia" w:ascii="仿宋" w:hAnsi="仿宋" w:eastAsia="仿宋"/>
          <w:sz w:val="32"/>
          <w:szCs w:val="32"/>
        </w:rPr>
        <w:t>预算完成率为：90.88%。支付进度率1-6月份进度为：40.81%；1-11月份支付进度为：74.51%。公用经费控制率为：100%；“三公经费”控制率为：99%；政府采购执行率为：100%。</w:t>
      </w:r>
    </w:p>
    <w:p>
      <w:pPr>
        <w:numPr>
          <w:ilvl w:val="0"/>
          <w:numId w:val="2"/>
        </w:numPr>
        <w:spacing w:line="560" w:lineRule="exact"/>
        <w:ind w:firstLine="640" w:firstLineChars="200"/>
        <w:outlineLvl w:val="0"/>
        <w:rPr>
          <w:rFonts w:hint="eastAsia" w:ascii="仿宋" w:hAnsi="仿宋" w:eastAsia="仿宋"/>
          <w:bCs/>
          <w:color w:val="000000"/>
          <w:sz w:val="32"/>
          <w:szCs w:val="32"/>
        </w:rPr>
      </w:pPr>
      <w:r>
        <w:rPr>
          <w:rFonts w:hint="eastAsia" w:ascii="仿宋" w:hAnsi="仿宋" w:eastAsia="仿宋"/>
          <w:bCs/>
          <w:color w:val="000000"/>
          <w:sz w:val="32"/>
          <w:szCs w:val="32"/>
        </w:rPr>
        <w:t>预算管理评价（管理制度健全情况、资金使用合规性、预决算公开性等）。</w:t>
      </w:r>
    </w:p>
    <w:p>
      <w:pPr>
        <w:spacing w:line="560" w:lineRule="exact"/>
        <w:ind w:firstLine="640" w:firstLineChars="200"/>
        <w:outlineLvl w:val="0"/>
        <w:rPr>
          <w:rFonts w:ascii="仿宋" w:hAnsi="仿宋" w:eastAsia="仿宋"/>
          <w:bCs/>
          <w:color w:val="000000"/>
          <w:sz w:val="32"/>
          <w:szCs w:val="32"/>
        </w:rPr>
      </w:pPr>
      <w:r>
        <w:rPr>
          <w:rFonts w:hint="eastAsia" w:ascii="仿宋" w:hAnsi="仿宋" w:eastAsia="仿宋"/>
          <w:bCs/>
          <w:color w:val="000000"/>
          <w:sz w:val="32"/>
          <w:szCs w:val="32"/>
        </w:rPr>
        <w:t xml:space="preserve"> 中心内控制度、内部财务管理制度和会计核算制度健全；资金管理制度，项目管理制度合法合规，内容完整。相关管理制度得到有效执行，资金的支付有完整的审批程序和手续，重大项目开支和大额资金使用经单位党组集体研究决策。预决算按照财政的要求在政府门户网站中及时准确的予以公开。</w:t>
      </w:r>
    </w:p>
    <w:p>
      <w:pPr>
        <w:spacing w:line="560" w:lineRule="exact"/>
        <w:ind w:firstLine="482" w:firstLineChars="150"/>
        <w:outlineLvl w:val="0"/>
        <w:rPr>
          <w:rFonts w:hint="eastAsia" w:ascii="仿宋" w:hAnsi="仿宋" w:eastAsia="仿宋"/>
          <w:b/>
          <w:bCs/>
          <w:color w:val="000000"/>
          <w:sz w:val="32"/>
          <w:szCs w:val="32"/>
        </w:rPr>
      </w:pPr>
      <w:r>
        <w:rPr>
          <w:rFonts w:hint="eastAsia" w:ascii="仿宋" w:hAnsi="仿宋" w:eastAsia="仿宋"/>
          <w:b/>
          <w:bCs/>
          <w:color w:val="000000"/>
          <w:sz w:val="32"/>
          <w:szCs w:val="32"/>
        </w:rPr>
        <w:t>（五）</w:t>
      </w:r>
      <w:r>
        <w:rPr>
          <w:rFonts w:ascii="仿宋" w:hAnsi="仿宋" w:eastAsia="仿宋"/>
          <w:b/>
          <w:bCs/>
          <w:color w:val="000000"/>
          <w:sz w:val="32"/>
          <w:szCs w:val="32"/>
        </w:rPr>
        <w:t>部门项目组织实施情况</w:t>
      </w:r>
    </w:p>
    <w:p>
      <w:pPr>
        <w:spacing w:line="560" w:lineRule="exact"/>
        <w:ind w:firstLine="627" w:firstLineChars="196"/>
        <w:outlineLvl w:val="0"/>
        <w:rPr>
          <w:rFonts w:hint="eastAsia" w:ascii="仿宋" w:hAnsi="仿宋" w:eastAsia="仿宋"/>
          <w:b/>
          <w:bCs/>
          <w:color w:val="000000"/>
          <w:sz w:val="32"/>
          <w:szCs w:val="32"/>
        </w:rPr>
      </w:pPr>
      <w:r>
        <w:rPr>
          <w:rFonts w:hint="eastAsia" w:ascii="仿宋" w:hAnsi="仿宋" w:eastAsia="仿宋"/>
          <w:bCs/>
          <w:color w:val="000000"/>
          <w:sz w:val="32"/>
          <w:szCs w:val="32"/>
        </w:rPr>
        <w:t>1.</w:t>
      </w:r>
      <w:r>
        <w:rPr>
          <w:rFonts w:ascii="仿宋" w:hAnsi="仿宋" w:eastAsia="仿宋"/>
          <w:bCs/>
          <w:color w:val="000000"/>
          <w:sz w:val="32"/>
          <w:szCs w:val="32"/>
        </w:rPr>
        <w:t>项目组织情况分析，主要包括项目招投标、调整、竣工验收等情况。</w:t>
      </w:r>
    </w:p>
    <w:p>
      <w:pPr>
        <w:spacing w:line="560" w:lineRule="exact"/>
        <w:ind w:firstLine="627" w:firstLineChars="196"/>
        <w:outlineLvl w:val="0"/>
        <w:rPr>
          <w:rFonts w:hint="eastAsia" w:ascii="仿宋" w:hAnsi="仿宋" w:eastAsia="仿宋"/>
          <w:b/>
          <w:bCs/>
          <w:color w:val="000000"/>
          <w:sz w:val="32"/>
          <w:szCs w:val="32"/>
        </w:rPr>
      </w:pPr>
      <w:r>
        <w:rPr>
          <w:rFonts w:hint="eastAsia" w:ascii="仿宋_GB2312" w:hAnsi="仿宋_GB2312" w:eastAsia="仿宋_GB2312" w:cs="仿宋_GB2312"/>
          <w:sz w:val="32"/>
          <w:szCs w:val="40"/>
        </w:rPr>
        <w:t>我中心严格依照政府采购相关管理规定，经过中心党组“三重一大”会议审议通过的项目，按照项目预算金额采取不同的采购方式</w:t>
      </w:r>
      <w:r>
        <w:rPr>
          <w:rFonts w:hint="eastAsia" w:ascii="仿宋_GB2312" w:hAnsi="仿宋_GB2312" w:eastAsia="仿宋_GB2312" w:cs="仿宋_GB2312"/>
          <w:sz w:val="32"/>
          <w:szCs w:val="40"/>
          <w:lang w:eastAsia="zh-CN"/>
        </w:rPr>
        <w:t>实施</w:t>
      </w:r>
      <w:r>
        <w:rPr>
          <w:rFonts w:hint="eastAsia" w:ascii="仿宋_GB2312" w:hAnsi="仿宋_GB2312" w:eastAsia="仿宋_GB2312" w:cs="仿宋_GB2312"/>
          <w:sz w:val="32"/>
          <w:szCs w:val="40"/>
        </w:rPr>
        <w:t>：1万元以上-30万元以内的采购项目</w:t>
      </w:r>
      <w:r>
        <w:rPr>
          <w:rFonts w:hint="eastAsia" w:ascii="仿宋_GB2312" w:hAnsi="仿宋" w:eastAsia="仿宋_GB2312"/>
          <w:sz w:val="32"/>
          <w:szCs w:val="32"/>
        </w:rPr>
        <w:t>由我部室按照中心采购管理办法及有关文件规定，组织实施</w:t>
      </w:r>
      <w:r>
        <w:rPr>
          <w:rFonts w:hint="eastAsia" w:ascii="仿宋_GB2312" w:hAnsi="仿宋_GB2312" w:eastAsia="仿宋_GB2312" w:cs="仿宋_GB2312"/>
          <w:sz w:val="32"/>
          <w:szCs w:val="40"/>
        </w:rPr>
        <w:t>；30万元以上（含30万）-100万元以下和集采目录内的政府采购项目采取县级政府采购方式，委托集中采购机构或政府采购代理机构，按上级有关规定组织实施；100万元以上的采购项目通过公开招标进行采购。</w:t>
      </w:r>
    </w:p>
    <w:p>
      <w:pPr>
        <w:spacing w:line="560" w:lineRule="exact"/>
        <w:ind w:firstLine="627" w:firstLineChars="196"/>
        <w:outlineLvl w:val="0"/>
        <w:rPr>
          <w:rFonts w:hint="eastAsia" w:ascii="仿宋" w:hAnsi="仿宋" w:eastAsia="仿宋"/>
          <w:b/>
          <w:bCs/>
          <w:color w:val="000000"/>
          <w:sz w:val="32"/>
          <w:szCs w:val="32"/>
        </w:rPr>
      </w:pPr>
      <w:r>
        <w:rPr>
          <w:rFonts w:hint="eastAsia" w:ascii="仿宋" w:hAnsi="仿宋" w:eastAsia="仿宋"/>
          <w:bCs/>
          <w:color w:val="000000"/>
          <w:sz w:val="32"/>
          <w:szCs w:val="32"/>
        </w:rPr>
        <w:t>2.</w:t>
      </w:r>
      <w:r>
        <w:rPr>
          <w:rFonts w:ascii="仿宋" w:hAnsi="仿宋" w:eastAsia="仿宋"/>
          <w:bCs/>
          <w:color w:val="000000"/>
          <w:sz w:val="32"/>
          <w:szCs w:val="32"/>
        </w:rPr>
        <w:t>项目管理情况分析，主要包括项目管理制度建设、日常检查监督管理等情况。</w:t>
      </w:r>
    </w:p>
    <w:p>
      <w:pPr>
        <w:spacing w:line="560" w:lineRule="exact"/>
        <w:ind w:firstLine="627" w:firstLineChars="196"/>
        <w:outlineLvl w:val="0"/>
        <w:rPr>
          <w:rFonts w:hint="eastAsia" w:ascii="仿宋" w:hAnsi="仿宋" w:eastAsia="仿宋"/>
          <w:b/>
          <w:bCs/>
          <w:color w:val="000000"/>
          <w:sz w:val="32"/>
          <w:szCs w:val="32"/>
        </w:rPr>
      </w:pPr>
      <w:r>
        <w:rPr>
          <w:rFonts w:hint="eastAsia" w:ascii="仿宋_GB2312" w:eastAsia="仿宋_GB2312"/>
          <w:sz w:val="32"/>
        </w:rPr>
        <w:t>我中心严格按照上级相关法律法规、县内相关文件规定及《长沙县机关事务中心政府采购管理办法》（长县事发〔2021〕2号）要求，对负责实施的政府采购项目，部室内明确专人负责跟进，完善相关程序，及时向中心领导汇报项目进度。项目完成后组织相关人员验收，验收合格后按合同约定及相关付款程序完善资金支付。</w:t>
      </w:r>
    </w:p>
    <w:p>
      <w:pPr>
        <w:spacing w:line="560" w:lineRule="exact"/>
        <w:ind w:firstLine="480" w:firstLineChars="150"/>
        <w:outlineLvl w:val="0"/>
        <w:rPr>
          <w:rFonts w:hint="eastAsia" w:ascii="仿宋_GB2312" w:hAnsi="仿宋" w:eastAsia="仿宋_GB2312"/>
          <w:bCs/>
          <w:color w:val="000000"/>
          <w:sz w:val="48"/>
          <w:szCs w:val="32"/>
        </w:rPr>
      </w:pPr>
      <w:r>
        <w:rPr>
          <w:rFonts w:hint="eastAsia" w:ascii="仿宋_GB2312" w:eastAsia="仿宋_GB2312"/>
          <w:sz w:val="32"/>
        </w:rPr>
        <w:t>（六）资产管理情况</w:t>
      </w:r>
    </w:p>
    <w:p>
      <w:pPr>
        <w:spacing w:line="560" w:lineRule="exact"/>
        <w:ind w:firstLine="480" w:firstLineChars="150"/>
        <w:outlineLvl w:val="0"/>
        <w:rPr>
          <w:rFonts w:hint="eastAsia" w:ascii="仿宋_GB2312" w:eastAsia="仿宋_GB2312"/>
          <w:sz w:val="32"/>
        </w:rPr>
      </w:pPr>
      <w:r>
        <w:rPr>
          <w:rFonts w:hint="eastAsia" w:ascii="仿宋_GB2312" w:eastAsia="仿宋_GB2312"/>
          <w:sz w:val="32"/>
        </w:rPr>
        <w:t>反映部门资产的配置、管理、处置等综合情况。包括制度建设、管理措施、配置处置的程序等。</w:t>
      </w:r>
    </w:p>
    <w:p>
      <w:pPr>
        <w:spacing w:line="560" w:lineRule="exact"/>
        <w:ind w:firstLine="480" w:firstLineChars="150"/>
        <w:outlineLvl w:val="0"/>
        <w:rPr>
          <w:rFonts w:ascii="仿宋_GB2312" w:hAnsi="仿宋" w:eastAsia="仿宋_GB2312"/>
          <w:bCs/>
          <w:color w:val="000000"/>
          <w:sz w:val="48"/>
          <w:szCs w:val="32"/>
        </w:rPr>
      </w:pPr>
      <w:r>
        <w:rPr>
          <w:rFonts w:hint="eastAsia" w:ascii="仿宋_GB2312" w:hAnsi="仿宋_GB2312" w:eastAsia="仿宋_GB2312" w:cs="仿宋_GB2312"/>
          <w:color w:val="000000" w:themeColor="text1"/>
          <w:sz w:val="32"/>
          <w:szCs w:val="32"/>
          <w14:textFill>
            <w14:solidFill>
              <w14:schemeClr w14:val="tx1"/>
            </w14:solidFill>
          </w14:textFill>
        </w:rPr>
        <w:t>我中心狠抓完善体制、健全机制和标准、夯实工作基础。</w:t>
      </w:r>
      <w:r>
        <w:rPr>
          <w:rFonts w:hint="eastAsia" w:ascii="仿宋_GB2312" w:hAnsi="仿宋_GB2312" w:eastAsia="仿宋_GB2312" w:cs="仿宋_GB2312"/>
          <w:b/>
          <w:bCs/>
          <w:color w:val="000000" w:themeColor="text1"/>
          <w:sz w:val="32"/>
          <w:szCs w:val="32"/>
          <w14:textFill>
            <w14:solidFill>
              <w14:schemeClr w14:val="tx1"/>
            </w14:solidFill>
          </w14:textFill>
        </w:rPr>
        <w:t>一是坚持不断完善优化管理制度。</w:t>
      </w:r>
      <w:r>
        <w:rPr>
          <w:rFonts w:hint="eastAsia" w:ascii="仿宋_GB2312" w:hAnsi="仿宋_GB2312" w:eastAsia="仿宋_GB2312" w:cs="仿宋_GB2312"/>
          <w:color w:val="000000" w:themeColor="text1"/>
          <w:sz w:val="32"/>
          <w:szCs w:val="32"/>
          <w14:textFill>
            <w14:solidFill>
              <w14:schemeClr w14:val="tx1"/>
            </w14:solidFill>
          </w14:textFill>
        </w:rPr>
        <w:t>今年以来，中心先后制定财经管理制度、固定资产管理制度、政府采购管理办法、工程项目管理办法、</w:t>
      </w:r>
      <w:r>
        <w:rPr>
          <w:rFonts w:hint="eastAsia" w:ascii="仿宋_GB2312" w:hAnsi="仿宋_GB2312" w:eastAsia="仿宋_GB2312" w:cs="仿宋_GB2312"/>
          <w:color w:val="000000"/>
          <w:sz w:val="32"/>
          <w:szCs w:val="32"/>
        </w:rPr>
        <w:t>车辆调派管理办法、平台公务车辆清洗管理办法、</w:t>
      </w:r>
      <w:r>
        <w:rPr>
          <w:rFonts w:hint="eastAsia" w:ascii="仿宋_GB2312" w:hAnsi="仿宋_GB2312" w:eastAsia="仿宋_GB2312" w:cs="仿宋_GB2312"/>
          <w:color w:val="000000" w:themeColor="text1"/>
          <w:sz w:val="32"/>
          <w:szCs w:val="32"/>
          <w14:textFill>
            <w14:solidFill>
              <w14:schemeClr w14:val="tx1"/>
            </w14:solidFill>
          </w14:textFill>
        </w:rPr>
        <w:t>服务外包单位考核办法等制度</w:t>
      </w:r>
      <w:r>
        <w:rPr>
          <w:rFonts w:hint="eastAsia" w:ascii="仿宋_GB2312" w:hAnsi="仿宋_GB2312" w:eastAsia="仿宋_GB2312" w:cs="仿宋_GB2312"/>
          <w:color w:val="000000"/>
          <w:sz w:val="32"/>
          <w:szCs w:val="32"/>
        </w:rPr>
        <w:t>。规章制度的不断出台和优化</w:t>
      </w:r>
      <w:r>
        <w:rPr>
          <w:rFonts w:hint="eastAsia" w:ascii="仿宋_GB2312" w:hAnsi="仿宋_GB2312" w:eastAsia="仿宋_GB2312" w:cs="仿宋_GB2312"/>
          <w:color w:val="000000" w:themeColor="text1"/>
          <w:sz w:val="32"/>
          <w:szCs w:val="32"/>
          <w14:textFill>
            <w14:solidFill>
              <w14:schemeClr w14:val="tx1"/>
            </w14:solidFill>
          </w14:textFill>
        </w:rPr>
        <w:t>，加强了对中心重点工作关键环节的工作流程规范和事前、事中、事后监管，实现制度先行，有法可依的法治型后勤事务建设；</w:t>
      </w:r>
      <w:r>
        <w:rPr>
          <w:rFonts w:hint="eastAsia" w:ascii="仿宋_GB2312" w:hAnsi="仿宋_GB2312" w:eastAsia="仿宋_GB2312" w:cs="仿宋_GB2312"/>
          <w:b/>
          <w:bCs/>
          <w:color w:val="000000" w:themeColor="text1"/>
          <w:sz w:val="32"/>
          <w:szCs w:val="32"/>
          <w14:textFill>
            <w14:solidFill>
              <w14:schemeClr w14:val="tx1"/>
            </w14:solidFill>
          </w14:textFill>
        </w:rPr>
        <w:t>二是提升财政资金使用效能。</w:t>
      </w:r>
      <w:r>
        <w:rPr>
          <w:rFonts w:hint="eastAsia" w:ascii="仿宋_GB2312" w:hAnsi="仿宋_GB2312" w:eastAsia="仿宋_GB2312" w:cs="仿宋_GB2312"/>
          <w:color w:val="000000" w:themeColor="text1"/>
          <w:sz w:val="32"/>
          <w:szCs w:val="32"/>
          <w14:textFill>
            <w14:solidFill>
              <w14:schemeClr w14:val="tx1"/>
            </w14:solidFill>
          </w14:textFill>
        </w:rPr>
        <w:t>针对目前中心财政专项资金体量大、名目多等现状，按照收支两条线原则，结合实际建立了专项资金使用定期通报机制，督促项目资金涉及部室做好资金使用计划、及时报审核算、依法依规支付，确保财政资金用出实效；</w:t>
      </w:r>
      <w:r>
        <w:rPr>
          <w:rFonts w:hint="eastAsia" w:ascii="仿宋_GB2312" w:hAnsi="仿宋_GB2312" w:eastAsia="仿宋_GB2312" w:cs="仿宋_GB2312"/>
          <w:b/>
          <w:bCs/>
          <w:color w:val="000000" w:themeColor="text1"/>
          <w:sz w:val="32"/>
          <w:szCs w:val="32"/>
          <w14:textFill>
            <w14:solidFill>
              <w14:schemeClr w14:val="tx1"/>
            </w14:solidFill>
          </w14:textFill>
        </w:rPr>
        <w:t>三是落实安全生产工作规范。</w:t>
      </w:r>
      <w:r>
        <w:rPr>
          <w:rFonts w:hint="eastAsia" w:ascii="仿宋_GB2312" w:hAnsi="仿宋_GB2312" w:eastAsia="仿宋_GB2312" w:cs="仿宋_GB2312"/>
          <w:color w:val="000000" w:themeColor="text1"/>
          <w:sz w:val="32"/>
          <w:szCs w:val="32"/>
          <w14:textFill>
            <w14:solidFill>
              <w14:schemeClr w14:val="tx1"/>
            </w14:solidFill>
          </w14:textFill>
        </w:rPr>
        <w:t>全年对中心各部室、4处机关食堂及12家服务外包单位，排查安全隐患300余条，多次开展应急演练、安全警示教育培训和维修改造、公务用车、食品餐饮、物业管理等专题安全生产工作讲评会，不断夯实食品安全和安全生产工作基础，逐步提升各岗位人员安全意识，全年未发生一起安全事故。</w:t>
      </w:r>
    </w:p>
    <w:p>
      <w:pPr>
        <w:numPr>
          <w:ilvl w:val="0"/>
          <w:numId w:val="3"/>
        </w:numPr>
        <w:spacing w:line="560" w:lineRule="exact"/>
        <w:ind w:firstLine="640" w:firstLineChars="200"/>
        <w:outlineLvl w:val="0"/>
        <w:rPr>
          <w:rFonts w:ascii="仿宋" w:hAnsi="仿宋" w:eastAsia="仿宋"/>
          <w:bCs/>
          <w:color w:val="000000"/>
          <w:sz w:val="32"/>
          <w:szCs w:val="32"/>
        </w:rPr>
      </w:pPr>
      <w:r>
        <w:rPr>
          <w:rFonts w:hint="eastAsia" w:ascii="仿宋" w:hAnsi="仿宋" w:eastAsia="仿宋"/>
          <w:bCs/>
          <w:color w:val="000000"/>
          <w:sz w:val="32"/>
          <w:szCs w:val="32"/>
        </w:rPr>
        <w:t>职责履行评价（重点工作实际完成率、完成及时率等）。</w:t>
      </w:r>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一是后勤APP正式上线，服务化繁为简。</w:t>
      </w:r>
      <w:r>
        <w:rPr>
          <w:rFonts w:hint="eastAsia" w:ascii="仿宋_GB2312" w:hAnsi="仿宋_GB2312" w:eastAsia="仿宋_GB2312" w:cs="仿宋_GB2312"/>
          <w:sz w:val="32"/>
          <w:szCs w:val="32"/>
        </w:rPr>
        <w:t>实现后勤事务统一归口一个平台、一并联动、一并办理的高效便捷服务管理，推出“互联网+机关事务”的“智慧后勤”APP系统，线上开发了党建管理、垃圾分类等模块，办公用房修缮、公务用车出行、会务预定预约、办公大院人车门禁、健康进机关预约、点餐外送和钱包充值等业务一键办理，全流程手续化繁为简，为广大干部职工提供了便捷、优质的后勤保障信息化服务。截至目前，“智慧后勤”APP注册用户约6000人，提供各项服务超100万次；</w:t>
      </w:r>
      <w:r>
        <w:rPr>
          <w:rFonts w:hint="eastAsia" w:ascii="仿宋_GB2312" w:hAnsi="仿宋_GB2312" w:eastAsia="仿宋_GB2312" w:cs="仿宋_GB2312"/>
          <w:b/>
          <w:bCs/>
          <w:sz w:val="32"/>
          <w:szCs w:val="32"/>
        </w:rPr>
        <w:t>二是食堂经营改革，破旧立新显成效。</w:t>
      </w:r>
      <w:r>
        <w:rPr>
          <w:rFonts w:hint="eastAsia" w:ascii="仿宋_GB2312" w:hAnsi="仿宋_GB2312" w:eastAsia="仿宋_GB2312" w:cs="仿宋_GB2312"/>
          <w:sz w:val="32"/>
          <w:szCs w:val="32"/>
        </w:rPr>
        <w:t>目前，</w:t>
      </w:r>
      <w:r>
        <w:rPr>
          <w:rFonts w:hint="eastAsia" w:ascii="仿宋_GB2312" w:hAnsi="仿宋_GB2312" w:eastAsia="仿宋_GB2312" w:cs="仿宋_GB2312"/>
          <w:sz w:val="32"/>
          <w:szCs w:val="32"/>
          <w:lang w:eastAsia="zh-CN"/>
        </w:rPr>
        <w:t>沿</w:t>
      </w:r>
      <w:bookmarkStart w:id="0" w:name="_GoBack"/>
      <w:bookmarkEnd w:id="0"/>
      <w:r>
        <w:rPr>
          <w:rFonts w:hint="eastAsia" w:ascii="仿宋_GB2312" w:hAnsi="仿宋_GB2312" w:eastAsia="仿宋_GB2312" w:cs="仿宋_GB2312"/>
          <w:sz w:val="32"/>
          <w:szCs w:val="32"/>
        </w:rPr>
        <w:t>用五年的食堂运营模式与广大干部职工餐饮需求之间的矛盾日益突显，为不断提升干部职工“舌尖上”的安全、营养、美味，我中心今年8月起在行政第二综合楼试点食堂自主经营改革，挑选专人建团队，建章立制抓监管，严格考核出成效。为提升干部的餐品服务，我中心开辟钵菜区、蒸菜区，提质了包厢和自助餐区，对菜单一周一审核一调整，菜品质量和服务品质明显提高，就餐满意率出现了质的飞跃，较好的保障了干部职工安全用餐69万余次</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sz w:val="32"/>
          <w:szCs w:val="32"/>
        </w:rPr>
        <w:t>为加强节约型机关建设，我中心多举措推行“光盘行动”，抓住“节、减、管”三字方针，建立奖惩机制，机关食堂每日餐厨垃圾减少到200公斤，总量减少33%；</w:t>
      </w:r>
      <w:r>
        <w:rPr>
          <w:rFonts w:hint="eastAsia" w:ascii="仿宋_GB2312" w:hAnsi="仿宋_GB2312" w:eastAsia="仿宋_GB2312" w:cs="仿宋_GB2312"/>
          <w:b/>
          <w:bCs/>
          <w:sz w:val="32"/>
          <w:szCs w:val="32"/>
        </w:rPr>
        <w:t>三是</w:t>
      </w:r>
      <w:r>
        <w:rPr>
          <w:rFonts w:hint="eastAsia" w:ascii="仿宋_GB2312" w:hAnsi="仿宋_GB2312" w:eastAsia="仿宋_GB2312" w:cs="仿宋_GB2312"/>
          <w:b/>
          <w:bCs/>
          <w:color w:val="000000"/>
          <w:sz w:val="32"/>
          <w:szCs w:val="32"/>
        </w:rPr>
        <w:t>创新</w:t>
      </w:r>
      <w:r>
        <w:rPr>
          <w:rFonts w:hint="eastAsia" w:ascii="仿宋_GB2312" w:hAnsi="仿宋_GB2312" w:eastAsia="仿宋_GB2312" w:cs="仿宋_GB2312"/>
          <w:b/>
          <w:bCs/>
          <w:sz w:val="32"/>
          <w:szCs w:val="32"/>
        </w:rPr>
        <w:t>公车</w:t>
      </w:r>
      <w:r>
        <w:rPr>
          <w:rFonts w:hint="eastAsia" w:ascii="仿宋_GB2312" w:hAnsi="仿宋_GB2312" w:eastAsia="仿宋_GB2312" w:cs="仿宋_GB2312"/>
          <w:b/>
          <w:bCs/>
          <w:color w:val="000000"/>
          <w:sz w:val="32"/>
          <w:szCs w:val="32"/>
        </w:rPr>
        <w:t>管理，实现节约高效。</w:t>
      </w:r>
      <w:r>
        <w:rPr>
          <w:rFonts w:hint="eastAsia" w:ascii="仿宋_GB2312" w:hAnsi="仿宋_GB2312" w:eastAsia="仿宋_GB2312" w:cs="仿宋_GB2312"/>
          <w:color w:val="000000"/>
          <w:sz w:val="32"/>
          <w:szCs w:val="32"/>
        </w:rPr>
        <w:t>坚持统筹出效益、整合出效能的原则，率先在全省建成了首个集车辆管理、司勤人员考勤、绩效考评、工资核算、社会租赁车管理、费用自动核算、第三方系统融合等功能于一体的公车管理平台。省、市公务用车管理部门先后2次到我县公务用车服务中心开展调研，充分肯定了我县公车服务在电子化、信息化、智能化管理工作上取得的成绩。今年完成</w:t>
      </w:r>
      <w:r>
        <w:rPr>
          <w:rFonts w:hint="eastAsia" w:ascii="仿宋_GB2312" w:hAnsi="仿宋_GB2312" w:eastAsia="仿宋_GB2312" w:cs="仿宋_GB2312"/>
          <w:color w:val="000000" w:themeColor="text1"/>
          <w:sz w:val="32"/>
          <w:szCs w:val="32"/>
          <w14:textFill>
            <w14:solidFill>
              <w14:schemeClr w14:val="tx1"/>
            </w14:solidFill>
          </w14:textFill>
        </w:rPr>
        <w:t>256台事业单位车改上交车辆处置，并依法依规办理了45台公务车辆的相关控购手续，</w:t>
      </w:r>
      <w:r>
        <w:rPr>
          <w:rFonts w:hint="eastAsia" w:ascii="仿宋_GB2312" w:hAnsi="仿宋_GB2312" w:eastAsia="仿宋_GB2312" w:cs="仿宋_GB2312"/>
          <w:sz w:val="32"/>
          <w:szCs w:val="32"/>
        </w:rPr>
        <w:t>保障了全县239家单位以及疫</w:t>
      </w:r>
      <w:r>
        <w:rPr>
          <w:rFonts w:hint="eastAsia" w:ascii="仿宋_GB2312" w:hAnsi="仿宋_GB2312" w:eastAsia="仿宋_GB2312" w:cs="仿宋_GB2312"/>
          <w:color w:val="000000"/>
          <w:sz w:val="32"/>
          <w:szCs w:val="32"/>
        </w:rPr>
        <w:t>情防控和县内重大中心工作的公务用车需求，提供安全、高效用车服务31400余次。</w:t>
      </w:r>
    </w:p>
    <w:p>
      <w:pPr>
        <w:numPr>
          <w:ilvl w:val="0"/>
          <w:numId w:val="3"/>
        </w:numPr>
        <w:spacing w:line="560" w:lineRule="exact"/>
        <w:ind w:firstLine="640" w:firstLineChars="200"/>
        <w:outlineLvl w:val="0"/>
        <w:rPr>
          <w:rFonts w:ascii="仿宋" w:hAnsi="仿宋" w:eastAsia="仿宋"/>
          <w:bCs/>
          <w:color w:val="000000"/>
          <w:sz w:val="32"/>
          <w:szCs w:val="32"/>
        </w:rPr>
      </w:pPr>
      <w:r>
        <w:rPr>
          <w:rFonts w:hint="eastAsia" w:ascii="仿宋" w:hAnsi="仿宋" w:eastAsia="仿宋"/>
          <w:bCs/>
          <w:color w:val="000000"/>
          <w:sz w:val="32"/>
          <w:szCs w:val="32"/>
        </w:rPr>
        <w:t>履职效益评价（经济效益、社会效益、生态效益、社会公众或服务对象满意度）。</w:t>
      </w:r>
    </w:p>
    <w:p>
      <w:pPr>
        <w:spacing w:line="56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1.机关事务保障标准化，做到应保尽保</w:t>
      </w:r>
    </w:p>
    <w:p>
      <w:pPr>
        <w:spacing w:line="560" w:lineRule="exact"/>
        <w:ind w:firstLine="643" w:firstLineChars="200"/>
        <w:rPr>
          <w:rFonts w:hint="eastAsia" w:ascii="仿宋_GB2312" w:hAnsi="仿宋_GB2312" w:eastAsia="仿宋_GB2312" w:cs="仿宋_GB2312"/>
          <w:b/>
          <w:bCs/>
          <w:sz w:val="48"/>
          <w:szCs w:val="32"/>
        </w:rPr>
      </w:pPr>
      <w:r>
        <w:rPr>
          <w:rFonts w:hint="eastAsia" w:ascii="仿宋_GB2312" w:hAnsi="仿宋_GB2312" w:eastAsia="仿宋_GB2312" w:cs="仿宋_GB2312"/>
          <w:b/>
          <w:bCs/>
          <w:color w:val="000000"/>
          <w:sz w:val="32"/>
          <w:szCs w:val="32"/>
        </w:rPr>
        <w:t>一是调配办公用房。</w:t>
      </w:r>
      <w:r>
        <w:rPr>
          <w:rFonts w:hint="eastAsia" w:ascii="仿宋_GB2312" w:hAnsi="仿宋_GB2312" w:eastAsia="仿宋_GB2312" w:cs="仿宋_GB2312"/>
          <w:color w:val="000000"/>
          <w:sz w:val="32"/>
          <w:szCs w:val="32"/>
        </w:rPr>
        <w:t>恪守标准，有效化解办公用房</w:t>
      </w:r>
      <w:r>
        <w:rPr>
          <w:rFonts w:hint="eastAsia" w:ascii="仿宋_GB2312" w:hAnsi="仿宋_GB2312" w:eastAsia="仿宋_GB2312" w:cs="仿宋_GB2312"/>
          <w:sz w:val="32"/>
          <w:szCs w:val="32"/>
        </w:rPr>
        <w:t>供需矛盾，缓解重点院落办公室已达到“一间难求”的现状。中心坚持科学规划、统筹兼顾、合理调剂的原则，回复处理各单位办公用房调剂申请来函60余份，为县公安局、县交警大队、示范区管委会等16家单位调剂办公用房50余间。为规范统筹全县办公用房，我们通过摸底建立了实时更新的台账，盘活市民服务中心闲置用房，调配业务用房4000</w:t>
      </w:r>
      <w:r>
        <w:rPr>
          <w:rFonts w:hint="eastAsia" w:ascii="仿宋_GB2312" w:hAnsi="仿宋_GB2312" w:cs="仿宋_GB2312"/>
          <w:sz w:val="32"/>
          <w:szCs w:val="32"/>
        </w:rPr>
        <w:t>㎡</w:t>
      </w:r>
      <w:r>
        <w:rPr>
          <w:rFonts w:hint="eastAsia" w:ascii="仿宋_GB2312" w:hAnsi="仿宋_GB2312" w:eastAsia="仿宋_GB2312" w:cs="仿宋_GB2312"/>
          <w:sz w:val="32"/>
          <w:szCs w:val="32"/>
        </w:rPr>
        <w:t>，着力解决了县自然资源局档案业务用房和县大数据中心“政务云”机房用房。与财政局、星城集团、国资中心就老行政办公区院落明确权属，确定产权、承租和管理办法；</w:t>
      </w:r>
      <w:r>
        <w:rPr>
          <w:rFonts w:hint="eastAsia" w:ascii="仿宋_GB2312" w:hAnsi="仿宋_GB2312" w:eastAsia="仿宋_GB2312" w:cs="仿宋_GB2312"/>
          <w:b/>
          <w:bCs/>
          <w:sz w:val="32"/>
          <w:szCs w:val="32"/>
        </w:rPr>
        <w:t>二是保障后勤物资。</w:t>
      </w:r>
      <w:r>
        <w:rPr>
          <w:rFonts w:hint="eastAsia" w:ascii="仿宋_GB2312" w:hAnsi="仿宋_GB2312" w:eastAsia="仿宋_GB2312" w:cs="仿宋_GB2312"/>
          <w:sz w:val="32"/>
          <w:szCs w:val="32"/>
        </w:rPr>
        <w:t>及时满足全县性、紧急性、临时性的工作办公所需，全年完成90批次采购任务，有力保障了省委巡察、县委办、蓝天办、扶贫办等10余家单位工作所需资产。尤其是疫情期间，医疗防护物资的采购异常困难，中心通过多方渠道，共采购防疫物资及设备52批次，包括7万多只口罩，1200多瓶84消毒液，270公斤酒精，60只体温枪，25台空气净化器等，为配合全县打赢疫情防控阻击战提供了坚实的物资保障；</w:t>
      </w:r>
      <w:r>
        <w:rPr>
          <w:rFonts w:hint="eastAsia" w:ascii="仿宋_GB2312" w:hAnsi="仿宋_GB2312" w:eastAsia="仿宋_GB2312" w:cs="仿宋_GB2312"/>
          <w:b/>
          <w:bCs/>
          <w:color w:val="000000"/>
          <w:sz w:val="32"/>
          <w:szCs w:val="32"/>
        </w:rPr>
        <w:t>三是会议会务保障。</w:t>
      </w:r>
      <w:r>
        <w:rPr>
          <w:rFonts w:hint="eastAsia" w:ascii="仿宋_GB2312" w:hAnsi="仿宋_GB2312" w:eastAsia="仿宋_GB2312" w:cs="仿宋_GB2312"/>
          <w:color w:val="000000"/>
          <w:sz w:val="32"/>
          <w:szCs w:val="32"/>
        </w:rPr>
        <w:t>我中心</w:t>
      </w:r>
      <w:r>
        <w:rPr>
          <w:rFonts w:hint="eastAsia" w:ascii="仿宋_GB2312" w:hAnsi="仿宋_GB2312" w:eastAsia="仿宋_GB2312" w:cs="仿宋_GB2312"/>
          <w:sz w:val="32"/>
          <w:szCs w:val="32"/>
        </w:rPr>
        <w:t>严格按照会务管理制度，从仪容姿态及颁奖礼仪等方面开展会务服务培训12次，对标最高服务标准，不断优化服务流程，2020年共接待会议2616场，其中大型会议演出352场，累计接待人数约26万人次，获得与会单位书面肯定179次，圆满完成各类会议、各个环节的衔接和服务保障工作。</w:t>
      </w:r>
    </w:p>
    <w:p>
      <w:pPr>
        <w:spacing w:line="560" w:lineRule="exact"/>
        <w:ind w:firstLine="640" w:firstLineChars="200"/>
        <w:jc w:val="left"/>
        <w:rPr>
          <w:rFonts w:ascii="黑体" w:hAnsi="黑体" w:eastAsia="黑体"/>
          <w:bCs/>
          <w:color w:val="000000"/>
          <w:sz w:val="32"/>
          <w:szCs w:val="32"/>
        </w:rPr>
      </w:pPr>
      <w:r>
        <w:rPr>
          <w:rFonts w:hint="eastAsia" w:eastAsia="黑体"/>
          <w:bCs/>
          <w:sz w:val="32"/>
          <w:szCs w:val="32"/>
        </w:rPr>
        <w:t>四、</w:t>
      </w:r>
      <w:r>
        <w:rPr>
          <w:rFonts w:hint="eastAsia" w:ascii="黑体" w:hAnsi="黑体" w:eastAsia="黑体"/>
          <w:bCs/>
          <w:color w:val="000000"/>
          <w:sz w:val="32"/>
          <w:szCs w:val="32"/>
        </w:rPr>
        <w:t>其他需要说明的问题</w:t>
      </w:r>
    </w:p>
    <w:p>
      <w:pPr>
        <w:spacing w:line="560" w:lineRule="exact"/>
        <w:ind w:firstLine="640" w:firstLineChars="200"/>
        <w:rPr>
          <w:rFonts w:hint="eastAsia" w:ascii="仿宋_GB2312" w:eastAsia="仿宋_GB2312"/>
          <w:sz w:val="32"/>
        </w:rPr>
      </w:pPr>
      <w:r>
        <w:rPr>
          <w:rFonts w:hint="eastAsia" w:ascii="仿宋_GB2312" w:eastAsia="仿宋_GB2312"/>
          <w:sz w:val="32"/>
        </w:rPr>
        <w:t>（一）后续工作计划。</w:t>
      </w:r>
    </w:p>
    <w:p>
      <w:pPr>
        <w:spacing w:line="560" w:lineRule="exact"/>
        <w:ind w:firstLine="640" w:firstLineChars="200"/>
        <w:rPr>
          <w:rFonts w:hint="eastAsia" w:ascii="仿宋_GB2312" w:eastAsia="仿宋_GB2312"/>
          <w:sz w:val="32"/>
        </w:rPr>
      </w:pPr>
      <w:r>
        <w:rPr>
          <w:rFonts w:hint="eastAsia" w:ascii="仿宋_GB2312" w:eastAsia="仿宋_GB2312"/>
          <w:sz w:val="32"/>
        </w:rPr>
        <w:t>1、细化预算编制工作，认真做好预算的编制。进一步加强单位内部机构各科室的预算管理意识，严格按照预算编制的相关制度和要求进行预算编制。</w:t>
      </w:r>
    </w:p>
    <w:p>
      <w:pPr>
        <w:spacing w:line="560" w:lineRule="exact"/>
        <w:ind w:firstLine="640" w:firstLineChars="200"/>
        <w:rPr>
          <w:rFonts w:hint="eastAsia" w:ascii="仿宋_GB2312" w:eastAsia="仿宋_GB2312"/>
          <w:sz w:val="32"/>
        </w:rPr>
      </w:pPr>
      <w:r>
        <w:rPr>
          <w:rFonts w:hint="eastAsia" w:ascii="仿宋_GB2312" w:eastAsia="仿宋_GB2312"/>
          <w:sz w:val="32"/>
        </w:rPr>
        <w:t>2、加强财务管理，严格财务审核。加强单位财务管理，健全单位财务管理制度体系，规范单位财务行为。在费用报账支付时，按照预算规定的费用项目和用途进行资金使用审核、列报支付、财务核算，杜绝超支现象的发生。</w:t>
      </w:r>
    </w:p>
    <w:p>
      <w:pPr>
        <w:spacing w:line="560" w:lineRule="exact"/>
        <w:ind w:firstLine="640" w:firstLineChars="200"/>
        <w:rPr>
          <w:rFonts w:hint="eastAsia" w:ascii="仿宋_GB2312" w:eastAsia="仿宋_GB2312"/>
          <w:sz w:val="32"/>
        </w:rPr>
      </w:pPr>
      <w:r>
        <w:rPr>
          <w:rFonts w:hint="eastAsia" w:ascii="仿宋_GB2312" w:eastAsia="仿宋_GB2312"/>
          <w:sz w:val="32"/>
        </w:rPr>
        <w:t>3、完善资产管理，抓好“三公”经费控制。严格编制政府采购年初预算和计划，规范各类资产的购置审批制度、资产出租出借和收入管理制度、资产采购制度、使用管理制度、资产处置和报废审批制度、资产管理岗位职责制度等，加强单位内部的资产管理工作。严格控制“三公”经费的规模和比例，把关“三公”经费支出的审核、审批，杜绝挪用和挤占其他预算资金行为；进一步细化“三公”经费的管理，合理压缩“三公”经费支出。</w:t>
      </w:r>
    </w:p>
    <w:p>
      <w:pPr>
        <w:spacing w:line="560" w:lineRule="exact"/>
        <w:ind w:firstLine="640" w:firstLineChars="200"/>
        <w:rPr>
          <w:rFonts w:hint="eastAsia" w:ascii="仿宋_GB2312" w:eastAsia="仿宋_GB2312"/>
          <w:sz w:val="32"/>
        </w:rPr>
      </w:pPr>
      <w:r>
        <w:rPr>
          <w:rFonts w:hint="eastAsia" w:ascii="仿宋_GB2312" w:eastAsia="仿宋_GB2312"/>
          <w:sz w:val="32"/>
        </w:rPr>
        <w:t>4、对相关人员加强培训，特别是针对《预算法》、《行政事业单位会计制度》等学习培训，规范部门预算收支核算，切实提高部门预算收支管理水平。</w:t>
      </w:r>
    </w:p>
    <w:p>
      <w:pPr>
        <w:numPr>
          <w:ilvl w:val="0"/>
          <w:numId w:val="4"/>
        </w:numPr>
        <w:spacing w:line="560" w:lineRule="exact"/>
        <w:ind w:firstLine="480" w:firstLineChars="150"/>
        <w:outlineLvl w:val="0"/>
        <w:rPr>
          <w:rFonts w:hint="eastAsia" w:ascii="仿宋" w:hAnsi="仿宋" w:eastAsia="仿宋"/>
          <w:sz w:val="32"/>
          <w:szCs w:val="32"/>
        </w:rPr>
      </w:pPr>
      <w:r>
        <w:rPr>
          <w:rFonts w:hint="eastAsia" w:ascii="仿宋" w:hAnsi="仿宋" w:eastAsia="仿宋"/>
          <w:bCs/>
          <w:color w:val="000000"/>
          <w:sz w:val="32"/>
          <w:szCs w:val="32"/>
        </w:rPr>
        <w:t>主要经验及做法、存在问题和建议</w:t>
      </w:r>
    </w:p>
    <w:p>
      <w:pPr>
        <w:spacing w:line="560" w:lineRule="exact"/>
        <w:ind w:firstLine="640" w:firstLineChars="200"/>
        <w:outlineLvl w:val="0"/>
        <w:rPr>
          <w:rFonts w:hint="eastAsia" w:ascii="仿宋" w:hAnsi="仿宋" w:eastAsia="仿宋"/>
          <w:sz w:val="32"/>
          <w:szCs w:val="32"/>
        </w:rPr>
      </w:pPr>
      <w:r>
        <w:rPr>
          <w:rFonts w:hint="eastAsia" w:ascii="仿宋" w:hAnsi="仿宋" w:eastAsia="仿宋"/>
          <w:sz w:val="32"/>
          <w:szCs w:val="32"/>
        </w:rPr>
        <w:t>我局在预算编制和执行率、资金使用管理的水平和效率上还有待进一步加强，在预算绩效管理方面还有待改进和完善，整体支出绩效报告也是在初步摸索的过程中编制的，需要不断地规范和完善。下一步，我局将进一步健全和完善财务管理制度及内部控制制度，规范和约束机关理财行为和程序，积极探索新形势下部门预算、国库集中支付等财政支出改革的特点，不断更新管理思路，在规范收支和控制经费增长上，创新管理手段，用新思路、新方法，改进和完善财务管理办法。按照财政支出绩效管理的要求，建立科学的财政资金效益考评制度体系，牢固树立行政成本意识，不断提高财政资金使用管理的水平和效率。</w:t>
      </w:r>
    </w:p>
    <w:p>
      <w:pPr>
        <w:spacing w:line="560" w:lineRule="exact"/>
        <w:ind w:firstLine="480" w:firstLineChars="150"/>
        <w:rPr>
          <w:rFonts w:hint="eastAsia" w:ascii="仿宋" w:hAnsi="仿宋" w:eastAsia="仿宋"/>
          <w:sz w:val="32"/>
          <w:szCs w:val="32"/>
        </w:rPr>
      </w:pPr>
      <w:r>
        <w:rPr>
          <w:rFonts w:hint="eastAsia" w:ascii="仿宋" w:hAnsi="仿宋" w:eastAsia="仿宋"/>
          <w:sz w:val="32"/>
          <w:szCs w:val="32"/>
        </w:rPr>
        <w:t>1、科学合理编制预算，严格执行预算。加强预算编制的前瞻性，按照新《预算法》及其实施条例的相关规定，按政策规定及本单位的发展规划，结合上一年度预算执行情况和本年度预算收支变化因素，科学合理地编制本年度预算草案，避免预算支出与实际执行出现较大偏差的情况，执行中确需调剂预算的，按规定程序报经批准。</w:t>
      </w:r>
    </w:p>
    <w:p>
      <w:pPr>
        <w:spacing w:line="560" w:lineRule="exact"/>
        <w:ind w:firstLine="480" w:firstLineChars="150"/>
        <w:rPr>
          <w:rFonts w:hint="eastAsia" w:ascii="仿宋" w:hAnsi="仿宋" w:eastAsia="仿宋"/>
          <w:sz w:val="32"/>
          <w:szCs w:val="32"/>
        </w:rPr>
      </w:pPr>
      <w:r>
        <w:rPr>
          <w:rFonts w:hint="eastAsia" w:ascii="仿宋" w:hAnsi="仿宋" w:eastAsia="仿宋"/>
          <w:sz w:val="32"/>
          <w:szCs w:val="32"/>
        </w:rPr>
        <w:t>2、完善绩效评价体系，加强监督检查和考核工作。进一步探索完善项目绩效评价指标体系，研究、关注绩效管理理论与实践发展的新思路、新动向，进一步完善项目绩效评价指标体系，增强绩效评价结果的可比性、可信度。加强对绩效管理工作的跟踪督查，做到绩效管理有依据、按程序、有奖惩，实现绩效管理的规范化、常态化。</w:t>
      </w:r>
    </w:p>
    <w:p>
      <w:pPr>
        <w:spacing w:line="560" w:lineRule="exact"/>
        <w:ind w:firstLine="480" w:firstLineChars="150"/>
        <w:rPr>
          <w:rFonts w:ascii="仿宋" w:hAnsi="仿宋" w:eastAsia="仿宋"/>
          <w:sz w:val="32"/>
          <w:szCs w:val="32"/>
        </w:rPr>
      </w:pPr>
      <w:r>
        <w:rPr>
          <w:rFonts w:hint="eastAsia" w:ascii="仿宋" w:hAnsi="仿宋" w:eastAsia="仿宋"/>
          <w:sz w:val="32"/>
          <w:szCs w:val="32"/>
        </w:rPr>
        <w:t>3、统筹协调，厘定提高资金使用绩效的关节点。切实提高资金使用绩效，找到突破口与关节点。财务工作的关节点很多，找到问题的节点，才能对症下药，采取得力措施，降低行政运行成本，提高资金使用绩效，真正做到依法理财、科学理财、民主理财。这也是财务工作需长期破解并一以贯之研究的课题。</w:t>
      </w:r>
    </w:p>
    <w:p>
      <w:pPr>
        <w:spacing w:line="560" w:lineRule="exact"/>
        <w:ind w:firstLine="640" w:firstLineChars="200"/>
        <w:outlineLvl w:val="0"/>
        <w:rPr>
          <w:rFonts w:hint="eastAsia" w:ascii="仿宋" w:hAnsi="仿宋" w:eastAsia="仿宋"/>
          <w:bCs/>
          <w:color w:val="000000"/>
          <w:sz w:val="32"/>
          <w:szCs w:val="32"/>
        </w:rPr>
      </w:pPr>
      <w:r>
        <w:rPr>
          <w:rFonts w:hint="eastAsia" w:ascii="仿宋" w:hAnsi="仿宋" w:eastAsia="仿宋"/>
          <w:bCs/>
          <w:color w:val="000000"/>
          <w:sz w:val="32"/>
          <w:szCs w:val="32"/>
        </w:rPr>
        <w:t>（三）其他。</w:t>
      </w:r>
    </w:p>
    <w:p>
      <w:pPr>
        <w:spacing w:line="560" w:lineRule="exact"/>
        <w:ind w:firstLine="640" w:firstLineChars="200"/>
        <w:outlineLvl w:val="0"/>
        <w:rPr>
          <w:rFonts w:ascii="仿宋" w:hAnsi="仿宋" w:eastAsia="仿宋"/>
          <w:bCs/>
          <w:color w:val="000000"/>
          <w:sz w:val="32"/>
          <w:szCs w:val="32"/>
        </w:rPr>
      </w:pPr>
      <w:r>
        <w:rPr>
          <w:rFonts w:hint="eastAsia" w:ascii="仿宋" w:hAnsi="仿宋" w:eastAsia="仿宋"/>
          <w:bCs/>
          <w:color w:val="000000"/>
          <w:sz w:val="32"/>
          <w:szCs w:val="32"/>
        </w:rPr>
        <w:t>无</w:t>
      </w:r>
    </w:p>
    <w:p>
      <w:pPr>
        <w:rPr>
          <w:rFonts w:ascii="仿宋" w:hAnsi="仿宋" w:eastAsia="仿宋"/>
          <w:sz w:val="32"/>
          <w:szCs w:val="32"/>
        </w:rPr>
      </w:pPr>
    </w:p>
    <w:p>
      <w:pPr>
        <w:spacing w:line="600" w:lineRule="exact"/>
        <w:jc w:val="left"/>
        <w:rPr>
          <w:rFonts w:ascii="Times New Roman" w:hAnsi="Times New Roman" w:eastAsia="黑体"/>
          <w:sz w:val="32"/>
          <w:szCs w:val="32"/>
        </w:rPr>
      </w:pPr>
    </w:p>
    <w:p>
      <w:pPr>
        <w:spacing w:line="600" w:lineRule="exact"/>
        <w:jc w:val="left"/>
        <w:rPr>
          <w:rFonts w:ascii="Times New Roman" w:hAnsi="Times New Roman" w:eastAsia="黑体"/>
          <w:sz w:val="32"/>
          <w:szCs w:val="32"/>
        </w:rPr>
      </w:pPr>
    </w:p>
    <w:p>
      <w:pPr>
        <w:ind w:firstLine="640" w:firstLineChars="200"/>
        <w:jc w:val="left"/>
        <w:rPr>
          <w:rFonts w:ascii="黑体" w:hAnsi="黑体" w:eastAsia="黑体"/>
          <w:sz w:val="32"/>
          <w:szCs w:val="32"/>
        </w:rPr>
      </w:pPr>
      <w:r>
        <w:rPr>
          <w:rFonts w:hint="eastAsia" w:ascii="黑体" w:hAnsi="黑体" w:eastAsia="黑体"/>
          <w:sz w:val="32"/>
          <w:szCs w:val="32"/>
        </w:rPr>
        <w:t>注：镇（</w:t>
      </w:r>
      <w:r>
        <w:rPr>
          <w:rFonts w:hint="eastAsia" w:ascii="黑体" w:hAnsi="黑体" w:eastAsia="黑体"/>
          <w:color w:val="000000"/>
          <w:sz w:val="32"/>
          <w:szCs w:val="32"/>
        </w:rPr>
        <w:t>街道</w:t>
      </w:r>
      <w:r>
        <w:rPr>
          <w:rFonts w:hint="eastAsia" w:ascii="黑体" w:hAnsi="黑体" w:eastAsia="黑体"/>
          <w:sz w:val="32"/>
          <w:szCs w:val="32"/>
        </w:rPr>
        <w:t>）财政运行综合绩效自评</w:t>
      </w:r>
      <w:r>
        <w:rPr>
          <w:rFonts w:ascii="黑体" w:hAnsi="黑体" w:eastAsia="黑体"/>
          <w:sz w:val="32"/>
          <w:szCs w:val="32"/>
        </w:rPr>
        <w:t>报告</w:t>
      </w:r>
      <w:r>
        <w:rPr>
          <w:rFonts w:hint="eastAsia" w:ascii="黑体" w:hAnsi="黑体" w:eastAsia="黑体"/>
          <w:sz w:val="32"/>
          <w:szCs w:val="32"/>
        </w:rPr>
        <w:t>参考部门整体支出绩效自评报告格式，根据镇街实际情况撰写报告。</w:t>
      </w:r>
    </w:p>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3000509000000000000"/>
    <w:charset w:val="86"/>
    <w:family w:val="script"/>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105952"/>
    </w:sdtPr>
    <w:sdtContent>
      <w:p>
        <w:pPr>
          <w:pStyle w:val="4"/>
          <w:jc w:val="right"/>
        </w:pPr>
        <w:r>
          <w:fldChar w:fldCharType="begin"/>
        </w:r>
        <w:r>
          <w:instrText xml:space="preserve"> PAGE   \* MERGEFORMAT </w:instrText>
        </w:r>
        <w:r>
          <w:fldChar w:fldCharType="separate"/>
        </w:r>
        <w:r>
          <w:rPr>
            <w:lang w:val="zh-CN"/>
          </w:rPr>
          <w:t>11</w:t>
        </w:r>
        <w:r>
          <w:rPr>
            <w:lang w:val="zh-CN"/>
          </w:rPr>
          <w:fldChar w:fldCharType="end"/>
        </w:r>
      </w:p>
    </w:sdtContent>
  </w:sdt>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266FE9F"/>
    <w:multiLevelType w:val="singleLevel"/>
    <w:tmpl w:val="B266FE9F"/>
    <w:lvl w:ilvl="0" w:tentative="0">
      <w:start w:val="7"/>
      <w:numFmt w:val="chineseCounting"/>
      <w:suff w:val="nothing"/>
      <w:lvlText w:val="（%1）"/>
      <w:lvlJc w:val="left"/>
      <w:rPr>
        <w:rFonts w:hint="eastAsia"/>
      </w:rPr>
    </w:lvl>
  </w:abstractNum>
  <w:abstractNum w:abstractNumId="1">
    <w:nsid w:val="E0D0507F"/>
    <w:multiLevelType w:val="singleLevel"/>
    <w:tmpl w:val="E0D0507F"/>
    <w:lvl w:ilvl="0" w:tentative="0">
      <w:start w:val="2"/>
      <w:numFmt w:val="chineseCounting"/>
      <w:suff w:val="nothing"/>
      <w:lvlText w:val="（%1）"/>
      <w:lvlJc w:val="left"/>
      <w:rPr>
        <w:rFonts w:hint="eastAsia"/>
      </w:rPr>
    </w:lvl>
  </w:abstractNum>
  <w:abstractNum w:abstractNumId="2">
    <w:nsid w:val="10FFF9E6"/>
    <w:multiLevelType w:val="singleLevel"/>
    <w:tmpl w:val="10FFF9E6"/>
    <w:lvl w:ilvl="0" w:tentative="0">
      <w:start w:val="2"/>
      <w:numFmt w:val="chineseCounting"/>
      <w:suff w:val="nothing"/>
      <w:lvlText w:val="（%1）"/>
      <w:lvlJc w:val="left"/>
      <w:rPr>
        <w:rFonts w:hint="eastAsia"/>
        <w:lang w:val="en-US"/>
      </w:rPr>
    </w:lvl>
  </w:abstractNum>
  <w:abstractNum w:abstractNumId="3">
    <w:nsid w:val="57BB950D"/>
    <w:multiLevelType w:val="singleLevel"/>
    <w:tmpl w:val="57BB950D"/>
    <w:lvl w:ilvl="0" w:tentative="0">
      <w:start w:val="2"/>
      <w:numFmt w:val="chineseCounting"/>
      <w:suff w:val="nothing"/>
      <w:lvlText w:val="（%1）"/>
      <w:lvlJc w:val="left"/>
      <w:rPr>
        <w:rFonts w:hint="eastAsia"/>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NmNzExYTUzZmE3Y2NmOWMxMWNjOTM1YzQ0MmZkM2MifQ=="/>
  </w:docVars>
  <w:rsids>
    <w:rsidRoot w:val="05404B36"/>
    <w:rsid w:val="05404B36"/>
    <w:rsid w:val="2ECE013D"/>
    <w:rsid w:val="675677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customStyle="1" w:styleId="2">
    <w:name w:val="BodyText1I2"/>
    <w:basedOn w:val="3"/>
    <w:qFormat/>
    <w:uiPriority w:val="0"/>
    <w:pPr>
      <w:ind w:firstLine="420" w:firstLineChars="200"/>
    </w:pPr>
    <w:rPr>
      <w:rFonts w:ascii="Times New Roman" w:hAnsi="Times New Roman" w:eastAsia="仿宋_GB2312"/>
      <w:sz w:val="32"/>
    </w:rPr>
  </w:style>
  <w:style w:type="paragraph" w:customStyle="1" w:styleId="3">
    <w:name w:val="BodyTextIndent"/>
    <w:basedOn w:val="1"/>
    <w:qFormat/>
    <w:uiPriority w:val="0"/>
    <w:pPr>
      <w:spacing w:after="120"/>
      <w:ind w:left="420" w:leftChars="200"/>
      <w:textAlignment w:val="baseline"/>
    </w:pPr>
  </w:style>
  <w:style w:type="paragraph" w:styleId="4">
    <w:name w:val="footer"/>
    <w:basedOn w:val="1"/>
    <w:unhideWhenUsed/>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12</Pages>
  <Words>5666</Words>
  <Characters>5866</Characters>
  <Lines>0</Lines>
  <Paragraphs>0</Paragraphs>
  <TotalTime>1</TotalTime>
  <ScaleCrop>false</ScaleCrop>
  <LinksUpToDate>false</LinksUpToDate>
  <CharactersWithSpaces>5868</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2022-09-07T06:30:00Z</dcterms:created>
  <dc:creator>Administrator</dc:creator>
  <cp:lastModifiedBy>%E9%9F%A9%E6%9C%A8%E5%8F%A3%E5%84%BF</cp:lastModifiedBy>
  <dcterms:modified xsi:type="dcterms:W3CDTF">2022-09-16T06:53:47Z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0078EDF982F14E76A96A68B0D7C2EF82</vt:lpwstr>
  </property>
</Properties>
</file>