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20" w:lineRule="exact"/>
        <w:ind w:firstLine="880" w:firstLineChars="200"/>
        <w:jc w:val="center"/>
        <w:rPr>
          <w:rFonts w:hint="eastAsia" w:ascii="方正小标宋_GBK" w:hAnsi="方正小标宋_GBK" w:eastAsia="方正小标宋_GBK" w:cs="方正小标宋_GBK"/>
          <w:color w:val="000000"/>
          <w:kern w:val="0"/>
          <w:sz w:val="44"/>
          <w:szCs w:val="44"/>
          <w:lang w:val="en-US" w:eastAsia="zh-CN"/>
        </w:rPr>
      </w:pPr>
      <w:r>
        <w:rPr>
          <w:rFonts w:hint="eastAsia" w:ascii="方正小标宋_GBK" w:hAnsi="方正小标宋_GBK" w:eastAsia="方正小标宋_GBK" w:cs="方正小标宋_GBK"/>
          <w:color w:val="000000"/>
          <w:kern w:val="0"/>
          <w:sz w:val="44"/>
          <w:szCs w:val="44"/>
          <w:lang w:val="en-US" w:eastAsia="zh-CN"/>
        </w:rPr>
        <w:t>2021年绩效工作开展情况</w:t>
      </w:r>
    </w:p>
    <w:p>
      <w:pPr>
        <w:pStyle w:val="2"/>
        <w:rPr>
          <w:rFonts w:hint="eastAsia" w:ascii="方正公文小标宋" w:hAnsi="方正公文小标宋" w:eastAsia="方正公文小标宋" w:cs="方正公文小标宋"/>
          <w:lang w:val="en-US" w:eastAsia="zh-CN"/>
        </w:rPr>
      </w:pPr>
    </w:p>
    <w:p>
      <w:pPr>
        <w:adjustRightInd w:val="0"/>
        <w:spacing w:line="52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一、主要工作开展情况</w:t>
      </w:r>
    </w:p>
    <w:p>
      <w:pPr>
        <w:spacing w:line="520" w:lineRule="exact"/>
        <w:rPr>
          <w:rFonts w:ascii="仿宋_GB2312" w:hAnsi="仿宋" w:eastAsia="仿宋_GB2312" w:cs="仿宋_GB2312"/>
          <w:color w:val="000000"/>
          <w:kern w:val="0"/>
          <w:sz w:val="32"/>
          <w:szCs w:val="32"/>
        </w:rPr>
      </w:pPr>
      <w:r>
        <w:rPr>
          <w:rFonts w:hint="eastAsia" w:ascii="楷体_GB2312" w:hAnsi="仿宋" w:eastAsia="楷体_GB2312" w:cs="楷体_GB2312"/>
          <w:color w:val="000000"/>
          <w:kern w:val="0"/>
          <w:sz w:val="32"/>
          <w:szCs w:val="32"/>
        </w:rPr>
        <w:t xml:space="preserve">    （一）初步建立财审联动机制，全面实施预算绩效管理。</w:t>
      </w:r>
      <w:r>
        <w:rPr>
          <w:rFonts w:hint="eastAsia" w:ascii="楷体_GB2312" w:hAnsi="仿宋" w:eastAsia="楷体_GB2312" w:cs="楷体_GB2312"/>
          <w:color w:val="000000"/>
          <w:kern w:val="0"/>
          <w:sz w:val="32"/>
          <w:szCs w:val="32"/>
          <w:lang w:val="en-US" w:eastAsia="zh-CN"/>
        </w:rPr>
        <w:t>县财政局</w:t>
      </w:r>
      <w:r>
        <w:rPr>
          <w:rFonts w:hint="eastAsia" w:ascii="仿宋_GB2312" w:hAnsi="仿宋" w:eastAsia="仿宋_GB2312" w:cs="仿宋_GB2312"/>
          <w:color w:val="000000"/>
          <w:kern w:val="0"/>
          <w:sz w:val="32"/>
          <w:szCs w:val="32"/>
        </w:rPr>
        <w:t>局会同县审计局商函建立财政与审计推进全面预算绩效管理工作协同</w:t>
      </w:r>
      <w:r>
        <w:rPr>
          <w:rFonts w:hint="eastAsia" w:ascii="仿宋_GB2312" w:hAnsi="仿宋" w:eastAsia="仿宋_GB2312" w:cs="仿宋_GB2312"/>
          <w:kern w:val="0"/>
          <w:sz w:val="32"/>
          <w:szCs w:val="32"/>
        </w:rPr>
        <w:t>机制，确立联系人和定期沟通制度，出台了我县</w:t>
      </w:r>
      <w:r>
        <w:rPr>
          <w:rFonts w:hint="eastAsia" w:ascii="仿宋_GB2312" w:hAnsi="仿宋" w:eastAsia="仿宋_GB2312" w:cs="仿宋_GB2312"/>
          <w:color w:val="000000"/>
          <w:kern w:val="0"/>
          <w:sz w:val="32"/>
          <w:szCs w:val="32"/>
        </w:rPr>
        <w:t>《关于建立全面预算绩效管理工作协同联动机制的意见》。财政与审计协同联动机制的建立，既发挥财政、审计部门的优势，加快构建全方位、全过程、全覆盖预算绩效管理体系；又节约资源，减少重复检查，提高工作效率，更进一步压实各部门单位责任，规范财政管理、维护财经纪律、提高财政资金绩效。</w:t>
      </w:r>
    </w:p>
    <w:p>
      <w:pPr>
        <w:adjustRightInd w:val="0"/>
        <w:spacing w:line="520" w:lineRule="exact"/>
        <w:ind w:firstLine="640" w:firstLineChars="200"/>
        <w:rPr>
          <w:rFonts w:ascii="仿宋_GB2312" w:hAnsi="仿宋" w:eastAsia="仿宋_GB2312" w:cs="仿宋_GB2312"/>
          <w:color w:val="000000"/>
          <w:kern w:val="0"/>
          <w:sz w:val="32"/>
          <w:szCs w:val="32"/>
        </w:rPr>
      </w:pPr>
      <w:r>
        <w:rPr>
          <w:rFonts w:hint="eastAsia" w:ascii="楷体_GB2312" w:hAnsi="仿宋" w:eastAsia="楷体_GB2312" w:cs="楷体_GB2312"/>
          <w:color w:val="000000"/>
          <w:kern w:val="0"/>
          <w:sz w:val="32"/>
          <w:szCs w:val="32"/>
        </w:rPr>
        <w:t>（二）突出工作重点，推动绩效管理水平提升。</w:t>
      </w:r>
      <w:r>
        <w:rPr>
          <w:rFonts w:hint="eastAsia" w:ascii="仿宋_GB2312" w:hAnsi="仿宋" w:eastAsia="仿宋_GB2312" w:cs="仿宋_GB2312"/>
          <w:color w:val="000000"/>
          <w:kern w:val="0"/>
          <w:sz w:val="32"/>
          <w:szCs w:val="32"/>
        </w:rPr>
        <w:t>一是绩效自评覆盖所有县直部门单位和预算支出项目。年初下发《关于对2020年度财政资金支出开展绩效自评工作的通知》，组织所有预算部门单位对2020年度部门整体支出及其专项开展绩效自评工作。今年共有82个预算部门单位和937个项目资金提交了自评报告。二是重点评价范围有突破。多方参与重点评价项目遴选，同时进一步扩大部门整体绩效评价和镇（街）财政运行综合支出绩效评价范围。2021年选定对县直44个部门、5个镇（街），合计82个项目资金进行重点评价，涉及评价总资金69.49亿元，同比上年涉及评价资金增长15.22亿元。三是严抓参与评价的事务所工作质量，积极对开展事务所评价前业务培训，归纳总结上年的经验和不足，持续跟踪评价过程，对进度进行监控，对事务所出具的绩效报告进行质量考核。</w:t>
      </w:r>
    </w:p>
    <w:p>
      <w:pPr>
        <w:adjustRightInd w:val="0"/>
        <w:spacing w:line="520" w:lineRule="exact"/>
        <w:ind w:firstLine="640" w:firstLineChars="200"/>
        <w:rPr>
          <w:rFonts w:ascii="仿宋_GB2312" w:hAnsi="仿宋" w:eastAsia="仿宋_GB2312" w:cs="Times New Roman"/>
          <w:color w:val="000000"/>
          <w:kern w:val="0"/>
          <w:sz w:val="32"/>
          <w:szCs w:val="32"/>
        </w:rPr>
      </w:pPr>
      <w:r>
        <w:rPr>
          <w:rFonts w:hint="eastAsia" w:ascii="楷体_GB2312" w:hAnsi="仿宋" w:eastAsia="楷体_GB2312" w:cs="楷体_GB2312"/>
          <w:color w:val="000000"/>
          <w:kern w:val="0"/>
          <w:sz w:val="32"/>
          <w:szCs w:val="32"/>
        </w:rPr>
        <w:t>（三）注重结果应用，将预算绩效管理落到实</w:t>
      </w:r>
      <w:r>
        <w:rPr>
          <w:rFonts w:hint="eastAsia" w:ascii="仿宋_GB2312" w:hAnsi="仿宋" w:eastAsia="仿宋_GB2312" w:cs="仿宋_GB2312"/>
          <w:color w:val="000000"/>
          <w:kern w:val="0"/>
          <w:sz w:val="32"/>
          <w:szCs w:val="32"/>
        </w:rPr>
        <w:t>处。一是由</w:t>
      </w:r>
      <w:r>
        <w:rPr>
          <w:rFonts w:hint="eastAsia" w:ascii="仿宋_GB2312" w:hAnsi="仿宋" w:eastAsia="仿宋_GB2312" w:cs="仿宋_GB2312"/>
          <w:color w:val="000000"/>
          <w:kern w:val="0"/>
          <w:sz w:val="32"/>
          <w:szCs w:val="32"/>
          <w:lang w:val="en-US" w:eastAsia="zh-CN"/>
        </w:rPr>
        <w:t>县财政局</w:t>
      </w:r>
      <w:r>
        <w:rPr>
          <w:rFonts w:hint="eastAsia" w:ascii="仿宋_GB2312" w:hAnsi="仿宋" w:eastAsia="仿宋_GB2312" w:cs="仿宋_GB2312"/>
          <w:color w:val="000000"/>
          <w:kern w:val="0"/>
          <w:sz w:val="32"/>
          <w:szCs w:val="32"/>
        </w:rPr>
        <w:t>预算绩效中心根据评价结果对部分延续性的项目编制“预算建议书”，作为2022年预算安排的重要参考依据；二是继续将绩效评价结果纳入县委、县政府对各单位年度绩效考核的内容之一；三是督促问题整改落实，分预算部门单位编制汇总问题清单，并督促各单位按时将整改情况及整改措施书面报告给我局；四是提请县政府发文通报2021年度绩效评价结果，并同步在财政部门网站公开，接受社会监督；五是要求部门单位在预决算公开时，必须公开本单位预算绩效管理情况。</w:t>
      </w:r>
    </w:p>
    <w:p>
      <w:pPr>
        <w:adjustRightInd w:val="0"/>
        <w:spacing w:line="520" w:lineRule="exact"/>
        <w:ind w:firstLine="640" w:firstLineChars="200"/>
        <w:rPr>
          <w:rFonts w:ascii="仿宋_GB2312" w:hAnsi="仿宋" w:eastAsia="仿宋_GB2312" w:cs="仿宋_GB2312"/>
          <w:color w:val="000000"/>
          <w:kern w:val="0"/>
          <w:sz w:val="32"/>
          <w:szCs w:val="32"/>
        </w:rPr>
      </w:pPr>
      <w:r>
        <w:rPr>
          <w:rFonts w:hint="eastAsia" w:ascii="楷体_GB2312" w:hAnsi="仿宋" w:eastAsia="楷体_GB2312" w:cs="楷体_GB2312"/>
          <w:color w:val="000000"/>
          <w:kern w:val="0"/>
          <w:sz w:val="32"/>
          <w:szCs w:val="32"/>
        </w:rPr>
        <w:t>（四）严抓评价报告质量，提高中介绩效评价水</w:t>
      </w:r>
      <w:r>
        <w:rPr>
          <w:rFonts w:hint="eastAsia" w:ascii="仿宋_GB2312" w:hAnsi="仿宋" w:eastAsia="仿宋_GB2312" w:cs="仿宋_GB2312"/>
          <w:color w:val="000000"/>
          <w:kern w:val="0"/>
          <w:sz w:val="32"/>
          <w:szCs w:val="32"/>
        </w:rPr>
        <w:t>平。一是召开受托中介机构的工作动员会，部署、分解2021年绩效重点评价工作任务，开展评价前业务培训，讲解绩效评价重点，并要求签署“委托绩效评价工作承诺书”；二是</w:t>
      </w:r>
      <w:bookmarkStart w:id="0" w:name="_GoBack"/>
      <w:bookmarkEnd w:id="0"/>
      <w:r>
        <w:rPr>
          <w:rFonts w:hint="eastAsia" w:ascii="仿宋_GB2312" w:hAnsi="仿宋" w:eastAsia="仿宋_GB2312" w:cs="仿宋_GB2312"/>
          <w:color w:val="000000"/>
          <w:kern w:val="0"/>
          <w:sz w:val="32"/>
          <w:szCs w:val="32"/>
        </w:rPr>
        <w:t>对绩效评价报告进行多轮审核，并提出修改意见，对中介的评价报告过程和定稿质量考评打分，按项目的考评结果计费；三是对于不按时提交报告、报告质量低下、得分靠后的会计师事务所，将继续采取末位淘汰，激励中介机构进一步加强管理，提高绩效评价工作质量。</w:t>
      </w:r>
    </w:p>
    <w:p>
      <w:pPr>
        <w:adjustRightInd w:val="0"/>
        <w:spacing w:line="52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二、2021年重点绩效评价情况</w:t>
      </w:r>
    </w:p>
    <w:p>
      <w:pPr>
        <w:adjustRightInd w:val="0"/>
        <w:spacing w:line="520" w:lineRule="exact"/>
        <w:ind w:firstLine="64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kern w:val="0"/>
          <w:sz w:val="32"/>
          <w:szCs w:val="32"/>
        </w:rPr>
        <w:t>2021年重点评价项目总体评价情况良好，各预算部门能认真履职，充分发挥部门职能，完善制度建设，加强资金管理，把控项目实施，资金使用较为合理，项目质量良好，公众满意度较高，在推动农业现代化、保障和改善民生等方面发挥了积极作用。</w:t>
      </w:r>
      <w:r>
        <w:rPr>
          <w:rFonts w:hint="eastAsia" w:ascii="仿宋_GB2312" w:hAnsi="仿宋" w:eastAsia="仿宋_GB2312" w:cs="仿宋_GB2312"/>
          <w:sz w:val="32"/>
          <w:szCs w:val="32"/>
        </w:rPr>
        <w:t>评价82个项目，共编写评价报告82个，具体考评结果为：优等项目25个，占30%，良等项目54个，占66%，中等项目3个，占4%，</w:t>
      </w:r>
      <w:r>
        <w:rPr>
          <w:rFonts w:hint="eastAsia" w:ascii="仿宋_GB2312" w:hAnsi="仿宋" w:eastAsia="仿宋_GB2312" w:cs="仿宋_GB2312"/>
          <w:color w:val="000000"/>
          <w:kern w:val="0"/>
          <w:sz w:val="32"/>
          <w:szCs w:val="32"/>
        </w:rPr>
        <w:t>具体情况见下表：</w:t>
      </w:r>
    </w:p>
    <w:p>
      <w:pPr>
        <w:adjustRightInd w:val="0"/>
        <w:spacing w:line="560" w:lineRule="exact"/>
        <w:jc w:val="center"/>
        <w:rPr>
          <w:rFonts w:ascii="方正小标宋简体" w:hAnsi="黑体" w:eastAsia="方正小标宋简体" w:cs="方正小标宋简体"/>
          <w:color w:val="000000"/>
          <w:kern w:val="0"/>
          <w:sz w:val="32"/>
          <w:szCs w:val="32"/>
        </w:rPr>
      </w:pPr>
      <w:r>
        <w:rPr>
          <w:rFonts w:hint="eastAsia" w:ascii="方正小标宋简体" w:hAnsi="黑体" w:eastAsia="方正小标宋简体" w:cs="方正小标宋简体"/>
          <w:color w:val="000000"/>
          <w:kern w:val="0"/>
          <w:sz w:val="32"/>
          <w:szCs w:val="32"/>
        </w:rPr>
        <w:t>长沙县2021年预算绩效重点评价项目评分情况表</w:t>
      </w:r>
    </w:p>
    <w:tbl>
      <w:tblPr>
        <w:tblStyle w:val="11"/>
        <w:tblW w:w="9377" w:type="dxa"/>
        <w:tblInd w:w="87" w:type="dxa"/>
        <w:tblLayout w:type="autofit"/>
        <w:tblCellMar>
          <w:top w:w="0" w:type="dxa"/>
          <w:left w:w="108" w:type="dxa"/>
          <w:bottom w:w="0" w:type="dxa"/>
          <w:right w:w="108" w:type="dxa"/>
        </w:tblCellMar>
      </w:tblPr>
      <w:tblGrid>
        <w:gridCol w:w="640"/>
        <w:gridCol w:w="2500"/>
        <w:gridCol w:w="4480"/>
        <w:gridCol w:w="1080"/>
        <w:gridCol w:w="677"/>
      </w:tblGrid>
      <w:tr>
        <w:tblPrEx>
          <w:tblCellMar>
            <w:top w:w="0" w:type="dxa"/>
            <w:left w:w="108" w:type="dxa"/>
            <w:bottom w:w="0" w:type="dxa"/>
            <w:right w:w="108" w:type="dxa"/>
          </w:tblCellMar>
        </w:tblPrEx>
        <w:trPr>
          <w:trHeight w:val="465" w:hRule="atLeast"/>
        </w:trPr>
        <w:tc>
          <w:tcPr>
            <w:tcW w:w="64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25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部门预算单位</w:t>
            </w:r>
          </w:p>
        </w:tc>
        <w:tc>
          <w:tcPr>
            <w:tcW w:w="44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项目名称</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评价金额（万元）</w:t>
            </w:r>
          </w:p>
        </w:tc>
        <w:tc>
          <w:tcPr>
            <w:tcW w:w="67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评价等级</w:t>
            </w:r>
          </w:p>
        </w:tc>
      </w:tr>
      <w:tr>
        <w:tblPrEx>
          <w:tblCellMar>
            <w:top w:w="0" w:type="dxa"/>
            <w:left w:w="108" w:type="dxa"/>
            <w:bottom w:w="0" w:type="dxa"/>
            <w:right w:w="108" w:type="dxa"/>
          </w:tblCellMar>
        </w:tblPrEx>
        <w:trPr>
          <w:trHeight w:val="480"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县自然资源局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长沙县宅基地一体、集体建设用地权籍调查和确权登记项目软件平台</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1988.44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60"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长沙县行政执法局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2020年度党建经费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44.18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县重点建设项目事务中心</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2061.9</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县卫生健康局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基层医疗卫生机构综合配套改革</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5674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县政协办</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1450</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县农业农村局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茶叶产业发展项目资金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988.31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县行政审批服务局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一般性项目专项资金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1111.77</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县教育局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学校现代化设备设施</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1000</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黄花综合保税区管委会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优惠政策兑现专项资金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11740.26</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黄花综合保税区管委会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一事一议补贴资金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1861.38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县政府办公室</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6809.71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县人力资源和社会保障局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失业保险基金(社保基金)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20682.85</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县人大办</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1559.73</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w:t>
            </w:r>
          </w:p>
        </w:tc>
        <w:tc>
          <w:tcPr>
            <w:tcW w:w="250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长沙县卫健系统</w:t>
            </w:r>
          </w:p>
        </w:tc>
        <w:tc>
          <w:tcPr>
            <w:tcW w:w="44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基层党组织活动经费</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87.88</w:t>
            </w:r>
          </w:p>
        </w:tc>
        <w:tc>
          <w:tcPr>
            <w:tcW w:w="677"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县住房和城乡建设局</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农村危房改造</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1212.14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w:t>
            </w:r>
          </w:p>
        </w:tc>
        <w:tc>
          <w:tcPr>
            <w:tcW w:w="2500"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县委组织部</w:t>
            </w:r>
          </w:p>
        </w:tc>
        <w:tc>
          <w:tcPr>
            <w:tcW w:w="4480"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5144.43</w:t>
            </w:r>
          </w:p>
        </w:tc>
        <w:tc>
          <w:tcPr>
            <w:tcW w:w="677"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县医疗保障局</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城乡医疗救助</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2314.14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w:t>
            </w:r>
          </w:p>
        </w:tc>
        <w:tc>
          <w:tcPr>
            <w:tcW w:w="250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县水利局</w:t>
            </w:r>
          </w:p>
        </w:tc>
        <w:tc>
          <w:tcPr>
            <w:tcW w:w="448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中小河流白沙河二期（高仓段）治理工程</w:t>
            </w:r>
          </w:p>
        </w:tc>
        <w:tc>
          <w:tcPr>
            <w:tcW w:w="108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326.97</w:t>
            </w:r>
          </w:p>
        </w:tc>
        <w:tc>
          <w:tcPr>
            <w:tcW w:w="67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县委办公室</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2419.35</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县委宣传部</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2781.07</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县自然资源局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生态环境综合整治</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1172.38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县卫生健康局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县级公立医院改革专项资金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2503</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县城市管理局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垃圾分类(长沙县市容环境卫生管理局)</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2342.51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县现代农业示范区管委会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农业产业化专项资金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1112.31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25</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县市场监督局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食品安全监管专项经费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383.59</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优</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县商务局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汽车消费节专项活动经费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1303.12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27</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县文化旅游广电体育局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旅游宣传</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598.88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县住房和城乡建设局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102301.43</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县商务局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商贸流通体系建设专项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1812.72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县统计局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1718.28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县行政执法局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案件办理及执法奖励和综合治理专项资金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691.24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县退役军人事务局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9392.94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县农业农村局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种植业产业发展专项资金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1018.94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县工业化和信息化局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振兴长沙县工业实体经济政策奖励</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2116.87</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w:t>
            </w:r>
          </w:p>
        </w:tc>
        <w:tc>
          <w:tcPr>
            <w:tcW w:w="250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县现代服务业发展中心</w:t>
            </w:r>
          </w:p>
        </w:tc>
        <w:tc>
          <w:tcPr>
            <w:tcW w:w="44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现代服务业专项引导资金</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777.27</w:t>
            </w:r>
          </w:p>
        </w:tc>
        <w:tc>
          <w:tcPr>
            <w:tcW w:w="677"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黄兴镇</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财政运行综合支出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30896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37</w:t>
            </w:r>
          </w:p>
        </w:tc>
        <w:tc>
          <w:tcPr>
            <w:tcW w:w="2500"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县文化旅游广电体育局</w:t>
            </w:r>
          </w:p>
        </w:tc>
        <w:tc>
          <w:tcPr>
            <w:tcW w:w="4480"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长沙县图书馆服务外包（政府采购项目）</w:t>
            </w:r>
          </w:p>
        </w:tc>
        <w:tc>
          <w:tcPr>
            <w:tcW w:w="108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1097.96</w:t>
            </w:r>
          </w:p>
        </w:tc>
        <w:tc>
          <w:tcPr>
            <w:tcW w:w="677"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县委党校</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1615.13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39</w:t>
            </w:r>
          </w:p>
        </w:tc>
        <w:tc>
          <w:tcPr>
            <w:tcW w:w="250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县自然资源局</w:t>
            </w:r>
          </w:p>
        </w:tc>
        <w:tc>
          <w:tcPr>
            <w:tcW w:w="448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城乡规划及咨询专项</w:t>
            </w:r>
          </w:p>
        </w:tc>
        <w:tc>
          <w:tcPr>
            <w:tcW w:w="108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19.3</w:t>
            </w:r>
          </w:p>
        </w:tc>
        <w:tc>
          <w:tcPr>
            <w:tcW w:w="67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湘龙街道办事处</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财政运行综合支出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20216.68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县工商业联合会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381.92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县农业农村局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26371.16</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52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县住房和城乡建设局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24座污水处理厂和13座污水处理厂提标扩建污水处理服务费(环投公司）</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4249.06</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县松雅湖管理局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松雅湖公园绿化养护服务外包</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909.64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县第一人民医院</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1.5T磁共振成像系统和16排CT（政府采购项目）</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1982.75</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46</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泉塘街道办事处</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财政运行综合支出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19948.6</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47</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县应急管理局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2621.28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县城市管理局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园林工程队（工程和维护）（政府性基金）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1380.18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县文化旅游广电体育局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开慧故里创建国家5A级旅游景区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444.45</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县水利局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镇街水利工程管护经费补助</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452.41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市生态环境局长沙县分局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燃气锅炉（设施）低氮燃烧改造补助</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565.8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县民政局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社会办养老机构建设及运营补贴专项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1116.42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县司法局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一般性项目专项资金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54</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金井镇</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财政运行综合支出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24261.9</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55</w:t>
            </w:r>
          </w:p>
        </w:tc>
        <w:tc>
          <w:tcPr>
            <w:tcW w:w="250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县自然资源局</w:t>
            </w:r>
          </w:p>
        </w:tc>
        <w:tc>
          <w:tcPr>
            <w:tcW w:w="44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28334.65</w:t>
            </w:r>
          </w:p>
        </w:tc>
        <w:tc>
          <w:tcPr>
            <w:tcW w:w="677"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510"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56</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县发展和改革局</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“630攻坚”配套路由项目、电力“630攻坚”配套路由项目-2020年预算内部调整</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1584.63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57</w:t>
            </w:r>
          </w:p>
        </w:tc>
        <w:tc>
          <w:tcPr>
            <w:tcW w:w="250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黄花综合保税区管委会</w:t>
            </w:r>
          </w:p>
        </w:tc>
        <w:tc>
          <w:tcPr>
            <w:tcW w:w="448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长沙黄花综合保税区A区二期项目建设（专项债）</w:t>
            </w:r>
          </w:p>
        </w:tc>
        <w:tc>
          <w:tcPr>
            <w:tcW w:w="108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8755.21</w:t>
            </w:r>
          </w:p>
        </w:tc>
        <w:tc>
          <w:tcPr>
            <w:tcW w:w="67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58</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县自然资源局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环城绿带建设</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2382.63</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市生态环境局长沙县分局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污染源重点治理</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487.13</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县交通运输局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G319（开元东路东延线）路边大修工程</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1457</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49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县融媒体中心</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长沙县融媒体中心建设(三年建设目标，含宣传部2年4000万元)</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2605.6</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县红十字会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173.04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黄花综合保税区管委会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91735.91</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64</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长沙县自然资源局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党建工作经费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23.14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65</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县总工会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1582.48</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66</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安沙镇</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财政运行综合支出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19422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67</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县民政局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敬老院专项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898.74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68</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县水利局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农村饮水巩固提升工程县级配套</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999.12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县公安局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63736.34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县现代农业创新示范区管委会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壮大新型农村集体经济产业带动模式专项扶持资金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600</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县机关事务中心</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机关事务中心所辖院落物业管理费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2448.7</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县教育局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2020年中心学校管理工作经费（含督学责任区经费）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99.99</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73</w:t>
            </w:r>
          </w:p>
        </w:tc>
        <w:tc>
          <w:tcPr>
            <w:tcW w:w="250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县公安局</w:t>
            </w:r>
          </w:p>
        </w:tc>
        <w:tc>
          <w:tcPr>
            <w:tcW w:w="44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交通安全设施应急抢修及隐患治理</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999.84</w:t>
            </w:r>
          </w:p>
        </w:tc>
        <w:tc>
          <w:tcPr>
            <w:tcW w:w="677"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74</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县城市管理局</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路灯运营维护费(长沙县户外广告和照明亮化事务中心)</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912.13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75</w:t>
            </w:r>
          </w:p>
        </w:tc>
        <w:tc>
          <w:tcPr>
            <w:tcW w:w="2500"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县教育局</w:t>
            </w:r>
          </w:p>
        </w:tc>
        <w:tc>
          <w:tcPr>
            <w:tcW w:w="4480" w:type="dxa"/>
            <w:tcBorders>
              <w:top w:val="single" w:color="auto" w:sz="4"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洋湖中学建设项目（直达资金）</w:t>
            </w:r>
          </w:p>
        </w:tc>
        <w:tc>
          <w:tcPr>
            <w:tcW w:w="1080"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2600</w:t>
            </w:r>
          </w:p>
        </w:tc>
        <w:tc>
          <w:tcPr>
            <w:tcW w:w="677"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76</w:t>
            </w:r>
          </w:p>
        </w:tc>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县水利局</w:t>
            </w:r>
          </w:p>
        </w:tc>
        <w:tc>
          <w:tcPr>
            <w:tcW w:w="44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白石洞水库工程（全建设周期2013-2020）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82057.34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77</w:t>
            </w:r>
          </w:p>
        </w:tc>
        <w:tc>
          <w:tcPr>
            <w:tcW w:w="250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县城市管理局</w:t>
            </w:r>
          </w:p>
        </w:tc>
        <w:tc>
          <w:tcPr>
            <w:tcW w:w="4480"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老旧小区家庭餐厨油烟净化治理</w:t>
            </w:r>
          </w:p>
        </w:tc>
        <w:tc>
          <w:tcPr>
            <w:tcW w:w="1080"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609.88</w:t>
            </w:r>
          </w:p>
        </w:tc>
        <w:tc>
          <w:tcPr>
            <w:tcW w:w="677"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78</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县农业农村局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农业综合开发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915.06</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79</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黄花综合保税区管委会</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黄花综保区（首期）PPP项目</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28219</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良</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80</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县农村治厕治垃圾工作办公室</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卫生改厕项目补助经费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2099.64</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81</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长沙县供销合作社联合社</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供销合作社建设发展引导专项资金</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631.5</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w:t>
            </w:r>
          </w:p>
        </w:tc>
      </w:tr>
      <w:tr>
        <w:tblPrEx>
          <w:tblCellMar>
            <w:top w:w="0" w:type="dxa"/>
            <w:left w:w="108" w:type="dxa"/>
            <w:bottom w:w="0" w:type="dxa"/>
            <w:right w:w="108" w:type="dxa"/>
          </w:tblCellMar>
        </w:tblPrEx>
        <w:trPr>
          <w:trHeight w:val="375" w:hRule="atLeast"/>
        </w:trPr>
        <w:tc>
          <w:tcPr>
            <w:tcW w:w="64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82</w:t>
            </w:r>
          </w:p>
        </w:tc>
        <w:tc>
          <w:tcPr>
            <w:tcW w:w="250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县教育局</w:t>
            </w:r>
          </w:p>
        </w:tc>
        <w:tc>
          <w:tcPr>
            <w:tcW w:w="4480" w:type="dxa"/>
            <w:tcBorders>
              <w:top w:val="nil"/>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校聘教师专项经费</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9052.32</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w:t>
            </w:r>
          </w:p>
        </w:tc>
      </w:tr>
      <w:tr>
        <w:tblPrEx>
          <w:tblCellMar>
            <w:top w:w="0" w:type="dxa"/>
            <w:left w:w="108" w:type="dxa"/>
            <w:bottom w:w="0" w:type="dxa"/>
            <w:right w:w="108" w:type="dxa"/>
          </w:tblCellMar>
        </w:tblPrEx>
        <w:trPr>
          <w:trHeight w:val="285" w:hRule="atLeast"/>
        </w:trPr>
        <w:tc>
          <w:tcPr>
            <w:tcW w:w="7620"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合计　</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694878.65</w:t>
            </w:r>
          </w:p>
        </w:tc>
        <w:tc>
          <w:tcPr>
            <w:tcW w:w="67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bl>
    <w:p>
      <w:pPr>
        <w:pStyle w:val="2"/>
      </w:pPr>
    </w:p>
    <w:p>
      <w:pPr>
        <w:adjustRightInd w:val="0"/>
        <w:spacing w:beforeLines="50" w:line="560" w:lineRule="exact"/>
        <w:ind w:firstLine="640" w:firstLineChars="200"/>
        <w:rPr>
          <w:rFonts w:ascii="黑体" w:hAnsi="黑体" w:eastAsia="黑体" w:cs="黑体"/>
          <w:spacing w:val="-6"/>
          <w:sz w:val="32"/>
          <w:szCs w:val="32"/>
        </w:rPr>
      </w:pPr>
      <w:r>
        <w:rPr>
          <w:rFonts w:hint="eastAsia" w:ascii="黑体" w:hAnsi="黑体" w:eastAsia="黑体" w:cs="黑体"/>
          <w:color w:val="000000"/>
          <w:kern w:val="0"/>
          <w:sz w:val="32"/>
          <w:szCs w:val="32"/>
        </w:rPr>
        <w:t>三、部</w:t>
      </w:r>
      <w:r>
        <w:rPr>
          <w:rFonts w:hint="eastAsia" w:ascii="黑体" w:hAnsi="黑体" w:eastAsia="黑体" w:cs="黑体"/>
          <w:color w:val="000000"/>
          <w:spacing w:val="-6"/>
          <w:kern w:val="0"/>
          <w:sz w:val="32"/>
          <w:szCs w:val="32"/>
        </w:rPr>
        <w:t>门整体绩效评价和镇（街）</w:t>
      </w:r>
      <w:r>
        <w:rPr>
          <w:rFonts w:hint="eastAsia" w:ascii="黑体" w:hAnsi="黑体" w:eastAsia="黑体" w:cs="黑体"/>
          <w:spacing w:val="-6"/>
          <w:sz w:val="32"/>
          <w:szCs w:val="32"/>
        </w:rPr>
        <w:t>财政运行情况综合绩效评价情况</w:t>
      </w:r>
    </w:p>
    <w:p>
      <w:pPr>
        <w:pStyle w:val="2"/>
      </w:pPr>
    </w:p>
    <w:p>
      <w:pPr>
        <w:adjustRightInd w:val="0"/>
        <w:spacing w:line="520" w:lineRule="exact"/>
        <w:ind w:firstLine="640" w:firstLineChars="200"/>
        <w:rPr>
          <w:rFonts w:ascii="仿宋_GB2312" w:hAnsi="仿宋" w:eastAsia="仿宋_GB2312" w:cs="仿宋_GB2312"/>
          <w:color w:val="000000"/>
          <w:kern w:val="0"/>
          <w:sz w:val="32"/>
          <w:szCs w:val="32"/>
        </w:rPr>
      </w:pPr>
      <w:r>
        <w:rPr>
          <w:rFonts w:ascii="仿宋_GB2312" w:hAnsi="仿宋" w:eastAsia="仿宋_GB2312" w:cs="仿宋_GB2312"/>
          <w:color w:val="000000"/>
          <w:kern w:val="0"/>
          <w:sz w:val="32"/>
          <w:szCs w:val="32"/>
        </w:rPr>
        <w:t>202</w:t>
      </w:r>
      <w:r>
        <w:rPr>
          <w:rFonts w:hint="eastAsia" w:ascii="仿宋_GB2312" w:hAnsi="仿宋" w:eastAsia="仿宋_GB2312" w:cs="仿宋_GB2312"/>
          <w:color w:val="000000"/>
          <w:kern w:val="0"/>
          <w:sz w:val="32"/>
          <w:szCs w:val="32"/>
        </w:rPr>
        <w:t>1年共对县人大办、县政府办等19个部门的整体财政支出及湘龙街道等5个镇（街）的</w:t>
      </w:r>
      <w:r>
        <w:rPr>
          <w:rFonts w:hint="eastAsia" w:ascii="仿宋_GB2312" w:hAnsi="仿宋" w:eastAsia="仿宋_GB2312" w:cs="仿宋_GB2312"/>
          <w:sz w:val="32"/>
          <w:szCs w:val="32"/>
        </w:rPr>
        <w:t>财政运行情况</w:t>
      </w:r>
      <w:r>
        <w:rPr>
          <w:rFonts w:hint="eastAsia" w:ascii="仿宋_GB2312" w:hAnsi="仿宋" w:eastAsia="仿宋_GB2312" w:cs="仿宋_GB2312"/>
          <w:color w:val="000000"/>
          <w:kern w:val="0"/>
          <w:sz w:val="32"/>
          <w:szCs w:val="32"/>
        </w:rPr>
        <w:t>开展重点绩效评价，评价涵盖这24个部门单位、镇（街）的基本支出和项目支出在内的所有财政资金，涉及评价金额46.69亿元。从评价得分情况看，县重点建设项目事务中心93.25分、县人大办91分排名前列，评为“优”等。从履职效能指标得分情况来看，县人大办得38分，占总分（</w:t>
      </w:r>
      <w:r>
        <w:rPr>
          <w:rFonts w:ascii="仿宋_GB2312" w:hAnsi="仿宋" w:eastAsia="仿宋_GB2312" w:cs="仿宋_GB2312"/>
          <w:color w:val="000000"/>
          <w:kern w:val="0"/>
          <w:sz w:val="32"/>
          <w:szCs w:val="32"/>
        </w:rPr>
        <w:t>40</w:t>
      </w:r>
      <w:r>
        <w:rPr>
          <w:rFonts w:hint="eastAsia" w:ascii="仿宋_GB2312" w:hAnsi="仿宋" w:eastAsia="仿宋_GB2312" w:cs="仿宋_GB2312"/>
          <w:color w:val="000000"/>
          <w:kern w:val="0"/>
          <w:sz w:val="32"/>
          <w:szCs w:val="32"/>
        </w:rPr>
        <w:t>）的95</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，部门设立的工作目标依据充分，内容合法、合规。</w:t>
      </w:r>
      <w:r>
        <w:rPr>
          <w:rFonts w:hint="eastAsia" w:ascii="仿宋_GB2312" w:hAnsi="黑体" w:eastAsia="仿宋_GB2312"/>
          <w:bCs/>
          <w:sz w:val="32"/>
          <w:szCs w:val="32"/>
        </w:rPr>
        <w:t>县人大在县委的正确领导下，依法</w:t>
      </w:r>
      <w:r>
        <w:rPr>
          <w:rFonts w:hint="eastAsia" w:ascii="仿宋_GB2312" w:hAnsi="仿宋" w:eastAsia="仿宋_GB2312" w:cs="仿宋_GB2312"/>
          <w:color w:val="000000"/>
          <w:kern w:val="0"/>
          <w:sz w:val="32"/>
          <w:szCs w:val="32"/>
        </w:rPr>
        <w:t>履职行, 较好完成了长沙县第十七届人大四次会议确定的各项任务。从履职效益指标得分情况来看，县重点建设项目事务中心得</w:t>
      </w:r>
      <w:r>
        <w:rPr>
          <w:rFonts w:ascii="仿宋_GB2312" w:hAnsi="仿宋" w:eastAsia="仿宋_GB2312" w:cs="仿宋_GB2312"/>
          <w:color w:val="000000"/>
          <w:kern w:val="0"/>
          <w:sz w:val="32"/>
          <w:szCs w:val="32"/>
        </w:rPr>
        <w:t>29</w:t>
      </w:r>
      <w:r>
        <w:rPr>
          <w:rFonts w:hint="eastAsia" w:ascii="仿宋_GB2312" w:hAnsi="仿宋" w:eastAsia="仿宋_GB2312" w:cs="仿宋_GB2312"/>
          <w:color w:val="000000"/>
          <w:kern w:val="0"/>
          <w:sz w:val="32"/>
          <w:szCs w:val="32"/>
        </w:rPr>
        <w:t>.9分，占总分（</w:t>
      </w:r>
      <w:r>
        <w:rPr>
          <w:rFonts w:ascii="仿宋_GB2312" w:hAnsi="仿宋" w:eastAsia="仿宋_GB2312" w:cs="仿宋_GB2312"/>
          <w:color w:val="000000"/>
          <w:kern w:val="0"/>
          <w:sz w:val="32"/>
          <w:szCs w:val="32"/>
        </w:rPr>
        <w:t>30</w:t>
      </w:r>
      <w:r>
        <w:rPr>
          <w:rFonts w:hint="eastAsia" w:ascii="仿宋_GB2312" w:hAnsi="仿宋" w:eastAsia="仿宋_GB2312" w:cs="仿宋_GB2312"/>
          <w:color w:val="000000"/>
          <w:kern w:val="0"/>
          <w:sz w:val="32"/>
          <w:szCs w:val="32"/>
        </w:rPr>
        <w:t>）的</w:t>
      </w:r>
      <w:r>
        <w:rPr>
          <w:rFonts w:ascii="仿宋_GB2312" w:hAnsi="仿宋" w:eastAsia="仿宋_GB2312" w:cs="仿宋_GB2312"/>
          <w:color w:val="000000"/>
          <w:kern w:val="0"/>
          <w:sz w:val="32"/>
          <w:szCs w:val="32"/>
        </w:rPr>
        <w:t>9</w:t>
      </w:r>
      <w:r>
        <w:rPr>
          <w:rFonts w:hint="eastAsia" w:ascii="仿宋_GB2312" w:hAnsi="仿宋" w:eastAsia="仿宋_GB2312" w:cs="仿宋_GB2312"/>
          <w:color w:val="000000"/>
          <w:kern w:val="0"/>
          <w:sz w:val="32"/>
          <w:szCs w:val="32"/>
        </w:rPr>
        <w:t>9.67</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w:t>
      </w:r>
      <w:r>
        <w:rPr>
          <w:rFonts w:ascii="仿宋_GB2312" w:hAnsi="黑体" w:eastAsia="仿宋_GB2312"/>
          <w:bCs/>
          <w:sz w:val="32"/>
          <w:szCs w:val="32"/>
        </w:rPr>
        <w:t>通过贯彻执行国家、省、市关于重点工程相关政策，代建完成政府投融资项目和协调重点工程有利于推动长沙县县域经济发展，同时通过对资金使用、投资概算编制、招投标等监督和管理，能够有效发挥项目资金的使用效益，适当减少工程投资支出</w:t>
      </w:r>
      <w:r>
        <w:rPr>
          <w:rFonts w:hint="eastAsia" w:ascii="仿宋_GB2312" w:hAnsi="黑体" w:eastAsia="仿宋_GB2312"/>
          <w:bCs/>
          <w:sz w:val="32"/>
          <w:szCs w:val="32"/>
        </w:rPr>
        <w:t>。</w:t>
      </w:r>
      <w:r>
        <w:rPr>
          <w:rFonts w:hint="eastAsia" w:ascii="仿宋_GB2312" w:hAnsi="仿宋" w:eastAsia="仿宋_GB2312" w:cs="仿宋_GB2312"/>
          <w:color w:val="000000"/>
          <w:kern w:val="0"/>
          <w:sz w:val="32"/>
          <w:szCs w:val="32"/>
        </w:rPr>
        <w:t>从管理效率指标得分情况来看，县住建局得</w:t>
      </w:r>
      <w:r>
        <w:rPr>
          <w:rFonts w:ascii="仿宋_GB2312" w:hAnsi="仿宋" w:eastAsia="仿宋_GB2312" w:cs="仿宋_GB2312"/>
          <w:color w:val="000000"/>
          <w:kern w:val="0"/>
          <w:sz w:val="32"/>
          <w:szCs w:val="32"/>
        </w:rPr>
        <w:t>28.</w:t>
      </w:r>
      <w:r>
        <w:rPr>
          <w:rFonts w:hint="eastAsia" w:ascii="仿宋_GB2312" w:hAnsi="仿宋" w:eastAsia="仿宋_GB2312" w:cs="仿宋_GB2312"/>
          <w:color w:val="000000"/>
          <w:kern w:val="0"/>
          <w:sz w:val="32"/>
          <w:szCs w:val="32"/>
        </w:rPr>
        <w:t>50分，占总分（</w:t>
      </w:r>
      <w:r>
        <w:rPr>
          <w:rFonts w:ascii="仿宋_GB2312" w:hAnsi="仿宋" w:eastAsia="仿宋_GB2312" w:cs="仿宋_GB2312"/>
          <w:color w:val="000000"/>
          <w:kern w:val="0"/>
          <w:sz w:val="32"/>
          <w:szCs w:val="32"/>
        </w:rPr>
        <w:t>30</w:t>
      </w:r>
      <w:r>
        <w:rPr>
          <w:rFonts w:hint="eastAsia" w:ascii="仿宋_GB2312" w:hAnsi="仿宋" w:eastAsia="仿宋_GB2312" w:cs="仿宋_GB2312"/>
          <w:color w:val="000000"/>
          <w:kern w:val="0"/>
          <w:sz w:val="32"/>
          <w:szCs w:val="32"/>
        </w:rPr>
        <w:t>）的</w:t>
      </w:r>
      <w:r>
        <w:rPr>
          <w:rFonts w:ascii="仿宋_GB2312" w:hAnsi="仿宋" w:eastAsia="仿宋_GB2312" w:cs="仿宋_GB2312"/>
          <w:color w:val="000000"/>
          <w:kern w:val="0"/>
          <w:sz w:val="32"/>
          <w:szCs w:val="32"/>
        </w:rPr>
        <w:t>9</w:t>
      </w:r>
      <w:r>
        <w:rPr>
          <w:rFonts w:hint="eastAsia" w:ascii="仿宋_GB2312" w:hAnsi="仿宋" w:eastAsia="仿宋_GB2312" w:cs="仿宋_GB2312"/>
          <w:color w:val="000000"/>
          <w:kern w:val="0"/>
          <w:sz w:val="32"/>
          <w:szCs w:val="32"/>
        </w:rPr>
        <w:t>5</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，建立了内部控制管理办法，制定了部门工作制度，重点专项资金单独设立了专项资金管理办法，成本控制较好。具体情况见下表：</w:t>
      </w:r>
    </w:p>
    <w:p/>
    <w:tbl>
      <w:tblPr>
        <w:tblStyle w:val="11"/>
        <w:tblW w:w="8440" w:type="dxa"/>
        <w:tblInd w:w="93" w:type="dxa"/>
        <w:tblLayout w:type="autofit"/>
        <w:tblCellMar>
          <w:top w:w="0" w:type="dxa"/>
          <w:left w:w="108" w:type="dxa"/>
          <w:bottom w:w="0" w:type="dxa"/>
          <w:right w:w="108" w:type="dxa"/>
        </w:tblCellMar>
      </w:tblPr>
      <w:tblGrid>
        <w:gridCol w:w="679"/>
        <w:gridCol w:w="2492"/>
        <w:gridCol w:w="3468"/>
        <w:gridCol w:w="1162"/>
        <w:gridCol w:w="639"/>
      </w:tblGrid>
      <w:tr>
        <w:tblPrEx>
          <w:tblCellMar>
            <w:top w:w="0" w:type="dxa"/>
            <w:left w:w="108" w:type="dxa"/>
            <w:bottom w:w="0" w:type="dxa"/>
            <w:right w:w="108" w:type="dxa"/>
          </w:tblCellMar>
        </w:tblPrEx>
        <w:trPr>
          <w:trHeight w:val="48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序号</w:t>
            </w:r>
          </w:p>
        </w:tc>
        <w:tc>
          <w:tcPr>
            <w:tcW w:w="24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部门预算单位</w:t>
            </w:r>
          </w:p>
        </w:tc>
        <w:tc>
          <w:tcPr>
            <w:tcW w:w="34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项目名称</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评价金额（万元）</w:t>
            </w:r>
          </w:p>
        </w:tc>
        <w:tc>
          <w:tcPr>
            <w:tcW w:w="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评价等级</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县重点建设项目事务中心</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2061.90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b/>
                <w:bCs/>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县政协办</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1450.00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县政府办</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6809.71 </w:t>
            </w:r>
          </w:p>
        </w:tc>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4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县人大办</w:t>
            </w:r>
          </w:p>
        </w:tc>
        <w:tc>
          <w:tcPr>
            <w:tcW w:w="34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1559.73 </w:t>
            </w:r>
          </w:p>
        </w:tc>
        <w:tc>
          <w:tcPr>
            <w:tcW w:w="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县委组织部</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5144.43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县委办公室</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2419.35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县委宣传部</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2781.07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优</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县住房和城乡建设局</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102301.43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县统计局</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1718.28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县退役军人事务局</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9392.94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黄兴镇</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财政运行综合支出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30896.00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县委党校</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1615.13 </w:t>
            </w:r>
          </w:p>
        </w:tc>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24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湘龙街道办事处</w:t>
            </w:r>
          </w:p>
        </w:tc>
        <w:tc>
          <w:tcPr>
            <w:tcW w:w="34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财政运行综合支出</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20216.68 </w:t>
            </w:r>
          </w:p>
        </w:tc>
        <w:tc>
          <w:tcPr>
            <w:tcW w:w="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2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县工商业联合会</w:t>
            </w:r>
          </w:p>
        </w:tc>
        <w:tc>
          <w:tcPr>
            <w:tcW w:w="34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381.92 </w:t>
            </w:r>
          </w:p>
        </w:tc>
        <w:tc>
          <w:tcPr>
            <w:tcW w:w="6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24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县农业农村局</w:t>
            </w:r>
          </w:p>
        </w:tc>
        <w:tc>
          <w:tcPr>
            <w:tcW w:w="346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26371.16 </w:t>
            </w:r>
          </w:p>
        </w:tc>
        <w:tc>
          <w:tcPr>
            <w:tcW w:w="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泉塘街道办事处</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财政运行综合支出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19948.60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县应急管理局</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2621.28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金井镇</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财政运行综合支出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24261.90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县自然资源局</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28334.65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县红十字会</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173.04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黄花综合保税区管委会</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91735.91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县总工会</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1582.48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安沙镇</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财政运行综合支出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19422.00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2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县公安局</w:t>
            </w:r>
          </w:p>
        </w:tc>
        <w:tc>
          <w:tcPr>
            <w:tcW w:w="346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部门整体支出</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63736.34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良</w:t>
            </w:r>
          </w:p>
        </w:tc>
      </w:tr>
      <w:tr>
        <w:tblPrEx>
          <w:tblCellMar>
            <w:top w:w="0" w:type="dxa"/>
            <w:left w:w="108" w:type="dxa"/>
            <w:bottom w:w="0" w:type="dxa"/>
            <w:right w:w="108" w:type="dxa"/>
          </w:tblCellMar>
        </w:tblPrEx>
        <w:trPr>
          <w:trHeight w:val="270" w:hRule="atLeast"/>
        </w:trPr>
        <w:tc>
          <w:tcPr>
            <w:tcW w:w="66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466935.93 </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53F915-A8AE-4DD9-85D4-4561F55E09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328755-007B-44CA-8389-2E467ACBE477}"/>
  </w:font>
  <w:font w:name="方正小标宋_GBK">
    <w:panose1 w:val="02000000000000000000"/>
    <w:charset w:val="86"/>
    <w:family w:val="auto"/>
    <w:pitch w:val="default"/>
    <w:sig w:usb0="A00002BF" w:usb1="38CF7CFA" w:usb2="00082016" w:usb3="00000000" w:csb0="00040001" w:csb1="00000000"/>
    <w:embedRegular r:id="rId3" w:fontKey="{85703720-8AB2-4182-B405-FACD2104091E}"/>
  </w:font>
  <w:font w:name="方正公文小标宋">
    <w:panose1 w:val="02000500000000000000"/>
    <w:charset w:val="86"/>
    <w:family w:val="auto"/>
    <w:pitch w:val="default"/>
    <w:sig w:usb0="A00002BF" w:usb1="38CF7CFA" w:usb2="00000016" w:usb3="00000000" w:csb0="00040001" w:csb1="00000000"/>
    <w:embedRegular r:id="rId4" w:fontKey="{34A94211-4127-43D1-A16E-45C136AD063A}"/>
  </w:font>
  <w:font w:name="仿宋_GB2312">
    <w:panose1 w:val="02010609030101010101"/>
    <w:charset w:val="86"/>
    <w:family w:val="modern"/>
    <w:pitch w:val="default"/>
    <w:sig w:usb0="00000001" w:usb1="080E0000" w:usb2="00000000" w:usb3="00000000" w:csb0="00040000" w:csb1="00000000"/>
    <w:embedRegular r:id="rId5" w:fontKey="{F893F1EA-9F8C-4316-AEC1-FA7A89E8205B}"/>
  </w:font>
  <w:font w:name="仿宋">
    <w:panose1 w:val="02010609060101010101"/>
    <w:charset w:val="86"/>
    <w:family w:val="modern"/>
    <w:pitch w:val="default"/>
    <w:sig w:usb0="800002BF" w:usb1="38CF7CFA" w:usb2="00000016" w:usb3="00000000" w:csb0="00040001" w:csb1="00000000"/>
    <w:embedRegular r:id="rId6" w:fontKey="{82C55EE5-0334-43FB-AE7C-7D1653624C3E}"/>
  </w:font>
  <w:font w:name="楷体_GB2312">
    <w:panose1 w:val="02010609030101010101"/>
    <w:charset w:val="86"/>
    <w:family w:val="modern"/>
    <w:pitch w:val="default"/>
    <w:sig w:usb0="00000001" w:usb1="080E0000" w:usb2="00000000" w:usb3="00000000" w:csb0="00040000" w:csb1="00000000"/>
    <w:embedRegular r:id="rId7" w:fontKey="{714D312D-7F9E-4756-8B51-DE59F8B7ECF4}"/>
  </w:font>
  <w:font w:name="方正小标宋简体">
    <w:panose1 w:val="03000509000000000000"/>
    <w:charset w:val="86"/>
    <w:family w:val="script"/>
    <w:pitch w:val="default"/>
    <w:sig w:usb0="00000001" w:usb1="080E0000" w:usb2="00000000" w:usb3="00000000" w:csb0="00040000" w:csb1="00000000"/>
    <w:embedRegular r:id="rId8" w:fontKey="{661ECE70-C58B-409F-9745-B8F30EDE8A8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RhMWUyYmQ2ZDEyZWM0YjE3YTk1NWRiZWJmZmQ1OWYifQ=="/>
  </w:docVars>
  <w:rsids>
    <w:rsidRoot w:val="00D47BEA"/>
    <w:rsid w:val="000D0EB3"/>
    <w:rsid w:val="0019470D"/>
    <w:rsid w:val="007C3F56"/>
    <w:rsid w:val="00A419C3"/>
    <w:rsid w:val="00C542D3"/>
    <w:rsid w:val="00D47BEA"/>
    <w:rsid w:val="00EF40CE"/>
    <w:rsid w:val="00F61B47"/>
    <w:rsid w:val="00FD6C74"/>
    <w:rsid w:val="072B47CB"/>
    <w:rsid w:val="6588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link w:val="18"/>
    <w:semiHidden/>
    <w:unhideWhenUsed/>
    <w:qFormat/>
    <w:uiPriority w:val="0"/>
    <w:pPr>
      <w:keepNext/>
      <w:keepLines/>
      <w:spacing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1"/>
    <w:link w:val="19"/>
    <w:semiHidden/>
    <w:qFormat/>
    <w:uiPriority w:val="99"/>
    <w:pPr>
      <w:snapToGrid w:val="0"/>
      <w:jc w:val="left"/>
    </w:pPr>
    <w:rPr>
      <w:sz w:val="18"/>
      <w:szCs w:val="18"/>
    </w:rPr>
  </w:style>
  <w:style w:type="paragraph" w:styleId="4">
    <w:name w:val="annotation text"/>
    <w:basedOn w:val="1"/>
    <w:link w:val="20"/>
    <w:semiHidden/>
    <w:qFormat/>
    <w:uiPriority w:val="99"/>
    <w:pPr>
      <w:jc w:val="left"/>
    </w:pPr>
    <w:rPr>
      <w:sz w:val="22"/>
      <w:szCs w:val="22"/>
    </w:rPr>
  </w:style>
  <w:style w:type="paragraph" w:styleId="5">
    <w:name w:val="Body Text"/>
    <w:basedOn w:val="1"/>
    <w:link w:val="21"/>
    <w:qFormat/>
    <w:uiPriority w:val="99"/>
    <w:pPr>
      <w:spacing w:after="120"/>
    </w:pPr>
    <w:rPr>
      <w:rFonts w:ascii="Times New Roman" w:hAnsi="Times New Roman" w:cs="Times New Roman"/>
      <w:sz w:val="24"/>
      <w:szCs w:val="24"/>
    </w:rPr>
  </w:style>
  <w:style w:type="paragraph" w:styleId="6">
    <w:name w:val="Body Text Indent"/>
    <w:basedOn w:val="1"/>
    <w:link w:val="22"/>
    <w:semiHidden/>
    <w:unhideWhenUsed/>
    <w:qFormat/>
    <w:uiPriority w:val="99"/>
    <w:pPr>
      <w:spacing w:after="120"/>
      <w:ind w:left="420" w:leftChars="200"/>
    </w:pPr>
  </w:style>
  <w:style w:type="paragraph" w:styleId="7">
    <w:name w:val="Plain Text"/>
    <w:basedOn w:val="1"/>
    <w:link w:val="23"/>
    <w:qFormat/>
    <w:uiPriority w:val="0"/>
    <w:rPr>
      <w:rFonts w:ascii="宋体" w:hAnsi="Courier New" w:cs="Courier New"/>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qFormat/>
    <w:uiPriority w:val="99"/>
    <w:rPr>
      <w:b/>
      <w:bCs/>
    </w:rPr>
  </w:style>
  <w:style w:type="character" w:styleId="14">
    <w:name w:val="page number"/>
    <w:basedOn w:val="12"/>
    <w:qFormat/>
    <w:uiPriority w:val="99"/>
  </w:style>
  <w:style w:type="character" w:styleId="15">
    <w:name w:val="Emphasis"/>
    <w:basedOn w:val="12"/>
    <w:qFormat/>
    <w:uiPriority w:val="0"/>
    <w:rPr>
      <w:i/>
      <w:iCs/>
    </w:r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semiHidden/>
    <w:qFormat/>
    <w:uiPriority w:val="99"/>
    <w:rPr>
      <w:sz w:val="18"/>
      <w:szCs w:val="18"/>
    </w:rPr>
  </w:style>
  <w:style w:type="character" w:customStyle="1" w:styleId="18">
    <w:name w:val="标题 3 Char"/>
    <w:basedOn w:val="12"/>
    <w:link w:val="3"/>
    <w:semiHidden/>
    <w:qFormat/>
    <w:uiPriority w:val="0"/>
    <w:rPr>
      <w:rFonts w:ascii="Calibri" w:hAnsi="Calibri" w:eastAsia="宋体" w:cs="Calibri"/>
      <w:b/>
      <w:sz w:val="32"/>
      <w:szCs w:val="21"/>
    </w:rPr>
  </w:style>
  <w:style w:type="character" w:customStyle="1" w:styleId="19">
    <w:name w:val="脚注文本 Char"/>
    <w:basedOn w:val="12"/>
    <w:link w:val="2"/>
    <w:semiHidden/>
    <w:qFormat/>
    <w:uiPriority w:val="99"/>
    <w:rPr>
      <w:rFonts w:ascii="Calibri" w:hAnsi="Calibri" w:eastAsia="宋体" w:cs="Calibri"/>
      <w:sz w:val="18"/>
      <w:szCs w:val="18"/>
    </w:rPr>
  </w:style>
  <w:style w:type="character" w:customStyle="1" w:styleId="20">
    <w:name w:val="批注文字 Char"/>
    <w:basedOn w:val="12"/>
    <w:link w:val="4"/>
    <w:semiHidden/>
    <w:qFormat/>
    <w:uiPriority w:val="99"/>
    <w:rPr>
      <w:rFonts w:ascii="Calibri" w:hAnsi="Calibri" w:eastAsia="宋体" w:cs="Calibri"/>
      <w:sz w:val="22"/>
    </w:rPr>
  </w:style>
  <w:style w:type="character" w:customStyle="1" w:styleId="21">
    <w:name w:val="正文文本 Char"/>
    <w:basedOn w:val="12"/>
    <w:link w:val="5"/>
    <w:qFormat/>
    <w:uiPriority w:val="99"/>
    <w:rPr>
      <w:rFonts w:ascii="Times New Roman" w:hAnsi="Times New Roman" w:eastAsia="宋体" w:cs="Times New Roman"/>
      <w:sz w:val="24"/>
      <w:szCs w:val="24"/>
    </w:rPr>
  </w:style>
  <w:style w:type="character" w:customStyle="1" w:styleId="22">
    <w:name w:val="正文文本缩进 Char"/>
    <w:basedOn w:val="12"/>
    <w:link w:val="6"/>
    <w:semiHidden/>
    <w:qFormat/>
    <w:uiPriority w:val="99"/>
    <w:rPr>
      <w:rFonts w:ascii="Calibri" w:hAnsi="Calibri" w:eastAsia="宋体" w:cs="Calibri"/>
      <w:szCs w:val="21"/>
    </w:rPr>
  </w:style>
  <w:style w:type="character" w:customStyle="1" w:styleId="23">
    <w:name w:val="纯文本 Char"/>
    <w:basedOn w:val="12"/>
    <w:link w:val="7"/>
    <w:qFormat/>
    <w:uiPriority w:val="0"/>
    <w:rPr>
      <w:rFonts w:ascii="宋体" w:hAnsi="Courier New" w:eastAsia="宋体" w:cs="Courier New"/>
      <w:szCs w:val="21"/>
    </w:rPr>
  </w:style>
  <w:style w:type="character" w:customStyle="1" w:styleId="24">
    <w:name w:val="Body Text Char"/>
    <w:qFormat/>
    <w:locked/>
    <w:uiPriority w:val="99"/>
    <w:rPr>
      <w:rFonts w:ascii="Times New Roman" w:hAnsi="Times New Roman" w:cs="Times New Roman"/>
      <w:kern w:val="2"/>
      <w:sz w:val="24"/>
      <w:szCs w:val="24"/>
    </w:rPr>
  </w:style>
  <w:style w:type="character" w:customStyle="1" w:styleId="25">
    <w:name w:val="Footer Char"/>
    <w:qFormat/>
    <w:locked/>
    <w:uiPriority w:val="99"/>
    <w:rPr>
      <w:kern w:val="2"/>
      <w:sz w:val="18"/>
      <w:szCs w:val="18"/>
    </w:rPr>
  </w:style>
  <w:style w:type="character" w:customStyle="1" w:styleId="26">
    <w:name w:val="Header Char"/>
    <w:semiHidden/>
    <w:qFormat/>
    <w:locked/>
    <w:uiPriority w:val="99"/>
    <w:rPr>
      <w:kern w:val="2"/>
      <w:sz w:val="18"/>
      <w:szCs w:val="18"/>
    </w:rPr>
  </w:style>
  <w:style w:type="character" w:customStyle="1" w:styleId="27">
    <w:name w:val="Comment Text Char"/>
    <w:qFormat/>
    <w:locked/>
    <w:uiPriority w:val="99"/>
    <w:rPr>
      <w:rFonts w:ascii="Calibri" w:hAnsi="Calibri" w:eastAsia="宋体" w:cs="Calibri"/>
      <w:kern w:val="2"/>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3974</Words>
  <Characters>4789</Characters>
  <Lines>38</Lines>
  <Paragraphs>10</Paragraphs>
  <TotalTime>15</TotalTime>
  <ScaleCrop>false</ScaleCrop>
  <LinksUpToDate>false</LinksUpToDate>
  <CharactersWithSpaces>4822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2022-02-25T02:59:00Z</dcterms:created>
  <dc:creator>DELL</dc:creator>
  <cp:lastModifiedBy>阿乔阿乔</cp:lastModifiedBy>
  <dcterms:modified xsi:type="dcterms:W3CDTF">2023-05-08T07:22:23Z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0ACAB20FBE6049C5B086F5CFA924998B</vt:lpwstr>
  </property>
</Properties>
</file>