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长</w:t>
      </w:r>
      <w:r>
        <w:rPr>
          <w:rFonts w:hint="eastAsia" w:ascii="方正小标宋简体" w:hAnsi="方正小标宋简体" w:eastAsia="方正小标宋简体" w:cs="方正小标宋简体"/>
          <w:sz w:val="44"/>
          <w:szCs w:val="44"/>
          <w:lang w:eastAsia="zh-CN"/>
        </w:rPr>
        <w:t>沙县安全生产委员会办公室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关于黄花镇“3.08”交通亡人事故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评估报告</w:t>
      </w:r>
    </w:p>
    <w:bookmarkEnd w:id="0"/>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一、事故基本情况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（一）“3.08事故”基本情况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1.事故概况：2022年03月08日0时27分许，在黄花镇东塘村S103金凤路口发生摩托车与重型半挂车碰撞，造成摩托车驾驶人当场死亡的交通亡人事故。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2.具体情况：</w:t>
      </w:r>
      <w:r>
        <w:rPr>
          <w:rFonts w:hint="eastAsia" w:ascii="仿宋_GB2312" w:hAnsi="仿宋_GB2312" w:eastAsia="仿宋_GB2312" w:cs="仿宋_GB2312"/>
          <w:sz w:val="32"/>
          <w:szCs w:val="32"/>
          <w:lang w:val="en-US" w:eastAsia="zh-CN"/>
        </w:rPr>
        <w:t>上述时间，摩托车驾驶员胡某（未取得机动车驾驶证醉酒后未戴头盔驾驶未依法注册具有安全隐患的二轮摩托车）沿省道103由西往东行驶至金凤路口右转弯时，与王某祝驾驶湘A8D391(湘A8217挂)重型半挂牵引车，同方向右转弯发生碰撞，造成胡某当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事发时间地点，存在夜间照明不佳，货车驾驶员视野盲区，摩托车驾驶员安全意识与守法意识不强等客观情况。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3.涉案车辆及企业单位：</w:t>
      </w:r>
      <w:r>
        <w:rPr>
          <w:rFonts w:hint="eastAsia" w:ascii="仿宋_GB2312" w:hAnsi="仿宋_GB2312" w:eastAsia="仿宋_GB2312" w:cs="仿宋_GB2312"/>
          <w:sz w:val="32"/>
          <w:szCs w:val="32"/>
          <w:lang w:val="en-US" w:eastAsia="zh-CN"/>
        </w:rPr>
        <w:t>重型半挂牵引车湘A8D391(湘A8217挂)，车主系湖南华洋仓储运输有限公司。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二、问题现状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（一）思想认识不到位。</w:t>
      </w:r>
      <w:r>
        <w:rPr>
          <w:rFonts w:hint="eastAsia" w:ascii="仿宋_GB2312" w:hAnsi="仿宋_GB2312" w:eastAsia="仿宋_GB2312" w:cs="仿宋_GB2312"/>
          <w:sz w:val="32"/>
          <w:szCs w:val="32"/>
          <w:lang w:val="en-US" w:eastAsia="zh-CN"/>
        </w:rPr>
        <w:t>“生命至上、人民至上”的理念树得不够牢，对一季度发生的交通亡人事故在思想认识上没有及时同步到镇党委政府的安排部署上来，认为亡人事故是客观原因造成的，与交通安全管理措施关系不大，预防事故、源头治理的责任感有待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（二）宣教工作落实不细。</w:t>
      </w:r>
      <w:r>
        <w:rPr>
          <w:rFonts w:hint="eastAsia" w:ascii="仿宋_GB2312" w:hAnsi="仿宋_GB2312" w:eastAsia="仿宋_GB2312" w:cs="仿宋_GB2312"/>
          <w:sz w:val="32"/>
          <w:szCs w:val="32"/>
          <w:lang w:val="en-US" w:eastAsia="zh-CN"/>
        </w:rPr>
        <w:t>在组织道交工作宣传上，存在着走过场、图形式的情况，镇域道路宣传氛围不浓，各村社区屋场会普遍存在组织不严密、内容形式单一，甚至个别村（社区）以微信群推送的方式代替屋场会。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（三）重点工作未重抓。</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两站两员”作用发挥不明显。对“两站两员”建设工作严重滞后，专职劝导队伍组建没有按照文件精神有效落实到位，劝导员对本职工作思想认识不深，业务知识不熟，进行岗前培训未经常，导致作用发挥不明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“一盔一带”还需抓坚持不懈。前期对“戴帽率”的实际抽查效果离95%的目标还有差距。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（四）抓源头企业不经常。</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镇上源头企业多，安全生产虽有按计划定期检查，但企业对本员工交通安全管理责任认识不深、重视不够，源头监管存在短板。</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抓企业道路交通安全责任落实意识不强，没有沉到企业去走访、去宣传、去约谈。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三、后续措施情况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（一）属地政府对道路交通安全工作重视情况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事故发生后镇党委、政府高度重视，</w:t>
      </w:r>
      <w:r>
        <w:rPr>
          <w:rFonts w:hint="eastAsia" w:ascii="仿宋_GB2312" w:hAnsi="仿宋_GB2312" w:eastAsia="仿宋_GB2312" w:cs="仿宋_GB2312"/>
          <w:b/>
          <w:bCs/>
          <w:sz w:val="32"/>
          <w:szCs w:val="32"/>
          <w:lang w:val="en-US" w:eastAsia="zh-CN"/>
        </w:rPr>
        <w:t>一是召开专题会议。</w:t>
      </w:r>
      <w:r>
        <w:rPr>
          <w:rFonts w:hint="eastAsia" w:ascii="仿宋_GB2312" w:hAnsi="仿宋_GB2312" w:eastAsia="仿宋_GB2312" w:cs="仿宋_GB2312"/>
          <w:sz w:val="32"/>
          <w:szCs w:val="32"/>
          <w:lang w:val="en-US" w:eastAsia="zh-CN"/>
        </w:rPr>
        <w:t>于4月28日组织召开全体党政办公会专题讨论研究道安工作。会议决定，尽快完善“两站两员”队伍建设，在原计划招聘17名专职道路交通劝导员的基础上，再增聘2名专职。同时招聘12人充实派出所和交警队力量，缓解辖区路警比低的问题压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加强安全投入。计划投入专项经费50万抓好“两站两员”具体建设工作，完善“两站”功能，提高“两员”素质，确保平台实体化、队伍专业化。</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部署交通整治行动。4月7日镇党委书记张辉组织召开了全镇交通问题集中整治动员会，要求以铁腕治超、老年代步车整治、“一盔一带”执法、劝导和宣教为治理重点，逐项整改到位，全镇基层干部务必增强思想高度，层层抓落实，问责抓典型，严守安全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（二）道路交通安全隐患治理投入情况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在事故发生路段沿线路灯电线杆粘贴反光贴膜约180杆，新增爆闪灯10盏，对28盏爆闪灯进行更换;事故路口加装高杆灯2个，投光灯2套，其他在路口增设道路标线、减速带、道口桩柱、警示标牌等共投入12万重点提高路口夜间照明度，预防事故发生。</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在远大三路、S103线、S206线、Y309、人民东路等5条主要道路排查出隐患54处，除S206线已列入县整改计划未开始整改外，其他4条道路上的隐患正在悉数整改中。</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针对对新修、改扩建道路的风险短板，3月25日对全镇在建公路隐患进行全面摸排，积极对接设计方、施工方，提出整改建议，在道路未通车前及时介入，将隐患消除在萌芽中。目前已约谈了龙峰大道、新远大路、漓湘路项目承建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（三）重点交通违法行为整治情况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组织交警、劝导员、巡查队员每天在辖区主次干道常态化开展“一盔一带”、老年代步车联合纠查检查，严格实施“处罚+教育”相结合的执法模式，督促摩托车、电动车违法驾驶人现场学习教育。发现老年代步车违规上路，一律实行严查严管严罚措施，以无牌无证无保险先处以罚款，再将车辆强制报废。上半年共查扣老年代步车26台，处罚宣教摩托车、电动车违法驾驶人1969人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“常态+错时”模式整治酒醉驾“零容忍”，查处酒醉驾违法驾驶人44人。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根据渣土运输项目的交通线路，不定期开展货车、渣土运输车交通专项整治，对违法驾驶人和运输企业一律从严从重处罚，共处理货车违法590台次，超载140起。其中因企业道安运输主体责任落实不到位，已对机场改扩建项目、交通枢纽项目相关负责人和渣土运输公司负责人进行了联合约谈，停业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（四）道路交通安全知识宣传情况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联合各学校在校园周边针对家长接送学生开展老年代步车和摩托车、电动车“戴帽率”整治，以惩教结合的形式，督促学生家长遵守交通法规，引导他们加强对学生群体交通安全事故风险防范的关注，安全文明出行。</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联合防电诈宣传，组织开展老年人群体的安全宣讲“屋场会”，专门针对老年人群体交通安全意识较低、安全教育引导不足的问题，进行当面阐述，逐项讲解。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对全镇16所公民办中小学校组织开展“交通安全进校园”活动，提高学生儿童对事故风险的预见性和避险自护能力。</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自制安全防范宣传手册25000份（后加印5000份），结合“敲门行动”、“四进四查五到位强基保安”工作，组织联村干部、支村两委带队、两站两员、志愿者敲门入居民家中、门店宣传疫情防控、安全生产、道交安全知识。</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针对摸排老年代步车群体，并逐一上户面对面宣传教育，发放告知书，签订承诺书，劝导不驾驶、不改装、不上路，预防事故发生。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（五）“两站两员”工作建设情况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开展交通劝导员业务知识系统培训。3月15日由黄花镇安委办组织各单位负责人、村（社区）书记、治安主任、劝导员进行集中培训。7月份专职劝导队伍组建后，每月进行一次培训交流，同时协调好两个交警中队发挥他们的专业特长，搞好交管业务指导帮带，全面提升队伍专业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利用组建专职劝导队伍这一契机，进一步明确职责分工，健全工作机制，统一管理标准，督导劝导员严格按照考评细则，履好职尽好责，发挥“两站两员”功能作用，切实强化农村道路交通安全管理工作。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（六）企业交通安全主体责任督促情况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加强工程机械特种车辆管理。约谈相关企业负责人，在工业园、物流企业周边路口设置“工程机械特种车辆严禁上路”标识牌，组织企业召开安全警示会，对车辆驾驶员和员工加强“视野盲区”典型案例宣传。</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紧盯</w:t>
      </w:r>
      <w:r>
        <w:rPr>
          <w:rFonts w:hint="default" w:ascii="仿宋_GB2312" w:hAnsi="仿宋_GB2312" w:eastAsia="仿宋_GB2312" w:cs="仿宋_GB2312"/>
          <w:sz w:val="32"/>
          <w:szCs w:val="32"/>
          <w:lang w:val="en-US" w:eastAsia="zh-CN"/>
        </w:rPr>
        <w:t>货运、渣土运输源头企业</w:t>
      </w:r>
      <w:r>
        <w:rPr>
          <w:rFonts w:hint="eastAsia" w:ascii="仿宋_GB2312" w:hAnsi="仿宋_GB2312" w:eastAsia="仿宋_GB2312" w:cs="仿宋_GB2312"/>
          <w:sz w:val="32"/>
          <w:szCs w:val="32"/>
          <w:lang w:val="en-US" w:eastAsia="zh-CN"/>
        </w:rPr>
        <w:t>重点</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人车兼顾</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强化</w:t>
      </w:r>
      <w:r>
        <w:rPr>
          <w:rFonts w:hint="default" w:ascii="仿宋_GB2312" w:hAnsi="仿宋_GB2312" w:eastAsia="仿宋_GB2312" w:cs="仿宋_GB2312"/>
          <w:sz w:val="32"/>
          <w:szCs w:val="32"/>
          <w:lang w:val="en-US" w:eastAsia="zh-CN"/>
        </w:rPr>
        <w:t>指导督促。</w:t>
      </w:r>
      <w:r>
        <w:rPr>
          <w:rFonts w:hint="eastAsia" w:ascii="仿宋_GB2312" w:hAnsi="仿宋_GB2312" w:eastAsia="仿宋_GB2312" w:cs="仿宋_GB2312"/>
          <w:sz w:val="32"/>
          <w:szCs w:val="32"/>
          <w:lang w:val="en-US" w:eastAsia="zh-CN"/>
        </w:rPr>
        <w:t>3、4月份，对辖区源头企业运输车辆驾驶员交通违法状况、车况维护保养、现场装载卸货等情况进行了突击检查。并联合县道安办、交警等对辖区运输企业开展重点车辆驾驶员交通安全培训，同时持续加大对货运车辆交通违法行为的整治力度，坚决打击不留后手，消除隐患在萌芽状态。</w:t>
      </w:r>
    </w:p>
    <w:p>
      <w:pPr>
        <w:pStyle w:val="2"/>
        <w:ind w:left="0" w:leftChars="0" w:firstLine="0" w:firstLineChars="0"/>
        <w:rPr>
          <w:rFonts w:hint="eastAsia"/>
          <w:lang w:val="en-US" w:eastAsia="zh-CN"/>
        </w:rPr>
      </w:pPr>
    </w:p>
    <w:p>
      <w:pPr>
        <w:pStyle w:val="13"/>
        <w:keepNext w:val="0"/>
        <w:keepLines w:val="0"/>
        <w:pageBreakBefore w:val="0"/>
        <w:widowControl/>
        <w:wordWrap/>
        <w:overflowPunct/>
        <w:topLinePunct w:val="0"/>
        <w:bidi w:val="0"/>
        <w:spacing w:line="560" w:lineRule="exact"/>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长沙县</w:t>
      </w:r>
      <w:r>
        <w:rPr>
          <w:rFonts w:hint="eastAsia" w:ascii="Times New Roman" w:hAnsi="Times New Roman" w:eastAsia="仿宋_GB2312" w:cs="Times New Roman"/>
          <w:sz w:val="32"/>
          <w:szCs w:val="32"/>
        </w:rPr>
        <w:t>安全生产委员会办公室</w:t>
      </w:r>
    </w:p>
    <w:p>
      <w:pPr>
        <w:pStyle w:val="13"/>
        <w:keepNext w:val="0"/>
        <w:keepLines w:val="0"/>
        <w:pageBreakBefore w:val="0"/>
        <w:widowControl/>
        <w:wordWrap/>
        <w:overflowPunct/>
        <w:topLinePunct w:val="0"/>
        <w:bidi w:val="0"/>
        <w:spacing w:line="560" w:lineRule="exact"/>
        <w:jc w:val="center"/>
        <w:rPr>
          <w:rFonts w:hint="default"/>
          <w:lang w:val="en-US" w:eastAsia="zh-CN"/>
        </w:rPr>
      </w:pP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2023年10月20日</w:t>
      </w:r>
    </w:p>
    <w:p>
      <w:pPr>
        <w:pStyle w:val="2"/>
        <w:jc w:val="center"/>
        <w:rPr>
          <w:rFonts w:hint="default" w:ascii="仿宋_GB2312" w:hAnsi="仿宋_GB2312" w:eastAsia="仿宋_GB2312" w:cs="仿宋_GB2312"/>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宋体"/>
    <w:panose1 w:val="00000000000000000000"/>
    <w:charset w:val="86"/>
    <w:family w:val="auto"/>
    <w:pitch w:val="default"/>
    <w:sig w:usb0="00000000" w:usb1="00000000" w:usb2="00000010" w:usb3="00000000" w:csb0="00040001" w:csb1="00000000"/>
  </w:font>
  <w:font w:name="..ì.">
    <w:altName w:val="宋体"/>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YWRkZDY1N2FiNWM4ODg3YTM5NjQ2ZjczZDU5MDkifQ=="/>
  </w:docVars>
  <w:rsids>
    <w:rsidRoot w:val="32DF2BD6"/>
    <w:rsid w:val="00332A8E"/>
    <w:rsid w:val="04377285"/>
    <w:rsid w:val="090349DF"/>
    <w:rsid w:val="11FA0231"/>
    <w:rsid w:val="12CA53C3"/>
    <w:rsid w:val="1934219E"/>
    <w:rsid w:val="1DA14A38"/>
    <w:rsid w:val="2E960B5C"/>
    <w:rsid w:val="2EBA0DF7"/>
    <w:rsid w:val="32DF2BD6"/>
    <w:rsid w:val="33D76A9F"/>
    <w:rsid w:val="395E0DC3"/>
    <w:rsid w:val="546E241C"/>
    <w:rsid w:val="64B96D77"/>
    <w:rsid w:val="67F0447F"/>
    <w:rsid w:val="6FFF0066"/>
    <w:rsid w:val="71B83E72"/>
    <w:rsid w:val="7BF6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200" w:firstLineChars="200"/>
    </w:pPr>
  </w:style>
  <w:style w:type="paragraph" w:styleId="6">
    <w:name w:val="toa heading"/>
    <w:basedOn w:val="1"/>
    <w:next w:val="1"/>
    <w:qFormat/>
    <w:uiPriority w:val="0"/>
    <w:pPr>
      <w:spacing w:before="120" w:after="200" w:line="276" w:lineRule="auto"/>
    </w:pPr>
    <w:rPr>
      <w:rFonts w:ascii="Arial" w:hAnsi="Arial"/>
      <w:sz w:val="24"/>
    </w:rPr>
  </w:style>
  <w:style w:type="paragraph" w:styleId="7">
    <w:name w:val="Body Text"/>
    <w:basedOn w:val="1"/>
    <w:next w:val="1"/>
    <w:qFormat/>
    <w:uiPriority w:val="0"/>
    <w:rPr>
      <w:rFonts w:ascii="Times New Roman" w:hAnsi="Times New Roman" w:eastAsia="文星仿宋" w:cs="Times New Roman"/>
      <w:sz w:val="32"/>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Default"/>
    <w:unhideWhenUsed/>
    <w:qFormat/>
    <w:uiPriority w:val="99"/>
    <w:pPr>
      <w:widowControl w:val="0"/>
      <w:autoSpaceDE w:val="0"/>
      <w:autoSpaceDN w:val="0"/>
      <w:adjustRightInd w:val="0"/>
    </w:pPr>
    <w:rPr>
      <w:rFonts w:hint="eastAsia" w:ascii="..ì." w:hAnsi="..ì." w:eastAsia="..ì." w:cs="Times New Roman"/>
      <w:color w:val="000000"/>
      <w:sz w:val="24"/>
      <w:szCs w:val="22"/>
      <w:lang w:val="en-US" w:eastAsia="zh-CN" w:bidi="ar-SA"/>
    </w:rPr>
  </w:style>
  <w:style w:type="paragraph" w:customStyle="1" w:styleId="13">
    <w:name w:val="正  文"/>
    <w:basedOn w:val="1"/>
    <w:next w:val="1"/>
    <w:qFormat/>
    <w:uiPriority w:val="0"/>
    <w:pPr>
      <w:spacing w:line="360" w:lineRule="auto"/>
      <w:ind w:firstLine="560"/>
    </w:pPr>
    <w:rPr>
      <w:rFonts w:ascii="宋体" w:hAnsi="宋体" w:cs="仿宋_GB2312"/>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2724</Words>
  <Characters>2815</Characters>
  <Lines>0</Lines>
  <Paragraphs>0</Paragraphs>
  <TotalTime>3</TotalTime>
  <ScaleCrop>false</ScaleCrop>
  <LinksUpToDate>false</LinksUpToDate>
  <CharactersWithSpaces>2836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2022-08-02T01:37:00Z</dcterms:created>
  <dc:creator>Administrator</dc:creator>
  <cp:lastModifiedBy>李岳顺</cp:lastModifiedBy>
  <cp:lastPrinted>2022-08-02T03:53:00Z</cp:lastPrinted>
  <dcterms:modified xsi:type="dcterms:W3CDTF">2023-12-20T08:54:57Z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42E4C1214D3644CCA9C5B8664B1CD7F6</vt:lpwstr>
  </property>
</Properties>
</file>