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600" w:lineRule="exact"/>
        <w:rPr>
          <w:rFonts w:ascii="宋体" w:hAnsi="宋体"/>
          <w:b/>
          <w:snapToGrid w:val="0"/>
          <w:color w:val="000000"/>
          <w:kern w:val="0"/>
          <w:sz w:val="32"/>
          <w:szCs w:val="32"/>
        </w:rPr>
      </w:pPr>
      <w:r>
        <w:rPr>
          <w:rFonts w:ascii="宋体" w:hAnsi="宋体"/>
          <w:b/>
          <w:snapToGrid w:val="0"/>
          <w:color w:val="000000"/>
          <w:kern w:val="0"/>
          <w:sz w:val="32"/>
          <w:szCs w:val="32"/>
        </w:rPr>
        <w:t>附件</w:t>
      </w:r>
      <w:r>
        <w:rPr>
          <w:rFonts w:hint="eastAsia" w:ascii="宋体" w:hAnsi="宋体"/>
          <w:b/>
          <w:snapToGrid w:val="0"/>
          <w:color w:val="000000"/>
          <w:kern w:val="0"/>
          <w:sz w:val="32"/>
          <w:szCs w:val="32"/>
        </w:rPr>
        <w:t>1</w:t>
      </w:r>
    </w:p>
    <w:p>
      <w:pPr>
        <w:adjustRightInd w:val="0"/>
        <w:snapToGrid w:val="0"/>
        <w:spacing w:before="312" w:beforeLines="100" w:after="343" w:afterLines="110" w:line="560" w:lineRule="exact"/>
        <w:jc w:val="center"/>
        <w:rPr>
          <w:rFonts w:ascii="方正小标宋简体" w:hAnsi="华文中宋" w:eastAsia="方正小标宋简体"/>
          <w:snapToGrid w:val="0"/>
          <w:color w:val="000000"/>
          <w:kern w:val="0"/>
          <w:sz w:val="40"/>
          <w:szCs w:val="40"/>
        </w:rPr>
      </w:pPr>
      <w:r>
        <w:rPr>
          <w:rFonts w:hint="eastAsia" w:ascii="方正小标宋简体" w:hAnsi="华文中宋" w:eastAsia="方正小标宋简体"/>
          <w:snapToGrid w:val="0"/>
          <w:color w:val="000000"/>
          <w:kern w:val="0"/>
          <w:sz w:val="40"/>
          <w:szCs w:val="40"/>
        </w:rPr>
        <w:t>长沙县2023年经济社会发展计划主要指标完成情况</w:t>
      </w:r>
    </w:p>
    <w:tbl>
      <w:tblPr>
        <w:tblStyle w:val="11"/>
        <w:tblW w:w="8883" w:type="dxa"/>
        <w:jc w:val="center"/>
        <w:tblLayout w:type="fixed"/>
        <w:tblCellMar>
          <w:top w:w="0" w:type="dxa"/>
          <w:left w:w="57" w:type="dxa"/>
          <w:bottom w:w="0" w:type="dxa"/>
          <w:right w:w="57" w:type="dxa"/>
        </w:tblCellMar>
      </w:tblPr>
      <w:tblGrid>
        <w:gridCol w:w="820"/>
        <w:gridCol w:w="3811"/>
        <w:gridCol w:w="1842"/>
        <w:gridCol w:w="2410"/>
      </w:tblGrid>
      <w:tr>
        <w:tblPrEx>
          <w:tblCellMar>
            <w:top w:w="0" w:type="dxa"/>
            <w:left w:w="57" w:type="dxa"/>
            <w:bottom w:w="0" w:type="dxa"/>
            <w:right w:w="57" w:type="dxa"/>
          </w:tblCellMar>
        </w:tblPrEx>
        <w:trPr>
          <w:trHeight w:val="725" w:hRule="atLeast"/>
          <w:jc w:val="center"/>
        </w:trPr>
        <w:tc>
          <w:tcPr>
            <w:tcW w:w="8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Style w:val="19"/>
                <w:rFonts w:ascii="黑体" w:hAnsi="黑体" w:eastAsia="黑体" w:cs="黑体"/>
                <w:snapToGrid w:val="0"/>
                <w:sz w:val="30"/>
                <w:szCs w:val="30"/>
              </w:rPr>
            </w:pPr>
            <w:r>
              <w:rPr>
                <w:rStyle w:val="18"/>
                <w:rFonts w:hint="eastAsia" w:ascii="黑体" w:hAnsi="黑体" w:eastAsia="黑体" w:cs="黑体"/>
                <w:snapToGrid w:val="0"/>
                <w:kern w:val="0"/>
                <w:sz w:val="30"/>
                <w:szCs w:val="30"/>
                <w:lang w:bidi="ar"/>
              </w:rPr>
              <w:t>序号</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Style w:val="19"/>
                <w:rFonts w:ascii="黑体" w:hAnsi="黑体" w:eastAsia="黑体" w:cs="黑体"/>
                <w:snapToGrid w:val="0"/>
                <w:sz w:val="30"/>
                <w:szCs w:val="30"/>
              </w:rPr>
            </w:pPr>
            <w:r>
              <w:rPr>
                <w:rStyle w:val="18"/>
                <w:rFonts w:hint="eastAsia" w:ascii="黑体" w:hAnsi="黑体" w:eastAsia="黑体" w:cs="黑体"/>
                <w:snapToGrid w:val="0"/>
                <w:kern w:val="0"/>
                <w:sz w:val="30"/>
                <w:szCs w:val="30"/>
                <w:lang w:bidi="ar"/>
              </w:rPr>
              <w:t>主要指标</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Style w:val="19"/>
                <w:rFonts w:ascii="黑体" w:hAnsi="黑体" w:eastAsia="黑体" w:cs="黑体"/>
                <w:snapToGrid w:val="0"/>
                <w:sz w:val="30"/>
                <w:szCs w:val="30"/>
              </w:rPr>
            </w:pPr>
            <w:r>
              <w:rPr>
                <w:rStyle w:val="18"/>
                <w:rFonts w:hint="eastAsia" w:ascii="黑体" w:hAnsi="黑体" w:eastAsia="黑体" w:cs="黑体"/>
                <w:snapToGrid w:val="0"/>
                <w:kern w:val="0"/>
                <w:sz w:val="30"/>
                <w:szCs w:val="30"/>
                <w:lang w:bidi="ar"/>
              </w:rPr>
              <w:t>2023年目标</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Style w:val="19"/>
                <w:rFonts w:ascii="黑体" w:hAnsi="黑体" w:eastAsia="黑体" w:cs="黑体"/>
                <w:snapToGrid w:val="0"/>
                <w:sz w:val="30"/>
                <w:szCs w:val="30"/>
              </w:rPr>
            </w:pPr>
            <w:r>
              <w:rPr>
                <w:rStyle w:val="18"/>
                <w:rFonts w:hint="eastAsia" w:ascii="黑体" w:hAnsi="黑体" w:eastAsia="黑体" w:cs="黑体"/>
                <w:snapToGrid w:val="0"/>
                <w:kern w:val="0"/>
                <w:sz w:val="30"/>
                <w:szCs w:val="30"/>
                <w:lang w:bidi="ar"/>
              </w:rPr>
              <w:t>2023年完成</w:t>
            </w:r>
          </w:p>
        </w:tc>
      </w:tr>
      <w:tr>
        <w:tblPrEx>
          <w:tblCellMar>
            <w:top w:w="0" w:type="dxa"/>
            <w:left w:w="57" w:type="dxa"/>
            <w:bottom w:w="0" w:type="dxa"/>
            <w:right w:w="57" w:type="dxa"/>
          </w:tblCellMar>
        </w:tblPrEx>
        <w:trPr>
          <w:trHeight w:val="714" w:hRule="atLeast"/>
          <w:jc w:val="center"/>
        </w:trPr>
        <w:tc>
          <w:tcPr>
            <w:tcW w:w="8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Style w:val="19"/>
                <w:rFonts w:ascii="仿宋" w:hAnsi="仿宋" w:eastAsia="仿宋" w:cs="仿宋_GB2312"/>
                <w:snapToGrid w:val="0"/>
                <w:sz w:val="30"/>
                <w:szCs w:val="30"/>
              </w:rPr>
            </w:pPr>
            <w:r>
              <w:rPr>
                <w:rStyle w:val="18"/>
                <w:rFonts w:hint="eastAsia" w:ascii="仿宋" w:hAnsi="仿宋" w:eastAsia="仿宋" w:cs="仿宋_GB2312"/>
                <w:snapToGrid w:val="0"/>
                <w:kern w:val="0"/>
                <w:sz w:val="30"/>
                <w:szCs w:val="30"/>
                <w:lang w:bidi="ar"/>
              </w:rPr>
              <w:t>1</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Style w:val="19"/>
                <w:rFonts w:ascii="仿宋" w:hAnsi="仿宋" w:eastAsia="仿宋" w:cs="仿宋_GB2312"/>
                <w:snapToGrid w:val="0"/>
                <w:sz w:val="30"/>
                <w:szCs w:val="30"/>
              </w:rPr>
            </w:pPr>
            <w:r>
              <w:rPr>
                <w:rStyle w:val="18"/>
                <w:rFonts w:hint="eastAsia" w:ascii="仿宋" w:hAnsi="仿宋" w:eastAsia="仿宋" w:cs="仿宋_GB2312"/>
                <w:snapToGrid w:val="0"/>
                <w:kern w:val="0"/>
                <w:sz w:val="30"/>
                <w:szCs w:val="30"/>
                <w:lang w:bidi="ar"/>
              </w:rPr>
              <w:t>地区生产总值增长</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Style w:val="19"/>
                <w:rFonts w:ascii="仿宋" w:hAnsi="仿宋" w:eastAsia="仿宋" w:cs="仿宋_GB2312"/>
                <w:snapToGrid w:val="0"/>
                <w:sz w:val="30"/>
                <w:szCs w:val="30"/>
              </w:rPr>
            </w:pPr>
            <w:r>
              <w:rPr>
                <w:rStyle w:val="18"/>
                <w:rFonts w:hint="eastAsia" w:ascii="仿宋" w:hAnsi="仿宋" w:eastAsia="仿宋" w:cs="仿宋_GB2312"/>
                <w:snapToGrid w:val="0"/>
                <w:kern w:val="0"/>
                <w:sz w:val="30"/>
                <w:szCs w:val="30"/>
                <w:lang w:bidi="ar"/>
              </w:rPr>
              <w:t>7%以上</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4.7%</w:t>
            </w:r>
          </w:p>
        </w:tc>
      </w:tr>
      <w:tr>
        <w:tblPrEx>
          <w:tblCellMar>
            <w:top w:w="0" w:type="dxa"/>
            <w:left w:w="57" w:type="dxa"/>
            <w:bottom w:w="0" w:type="dxa"/>
            <w:right w:w="57" w:type="dxa"/>
          </w:tblCellMar>
        </w:tblPrEx>
        <w:trPr>
          <w:trHeight w:val="799" w:hRule="atLeast"/>
          <w:jc w:val="center"/>
        </w:trPr>
        <w:tc>
          <w:tcPr>
            <w:tcW w:w="8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Fonts w:ascii="仿宋" w:hAnsi="仿宋" w:eastAsia="仿宋" w:cs="仿宋_GB2312"/>
                <w:snapToGrid w:val="0"/>
                <w:kern w:val="0"/>
                <w:sz w:val="30"/>
                <w:szCs w:val="30"/>
              </w:rPr>
            </w:pPr>
            <w:r>
              <w:rPr>
                <w:rStyle w:val="18"/>
                <w:rFonts w:hint="eastAsia" w:ascii="仿宋" w:hAnsi="仿宋" w:eastAsia="仿宋" w:cs="仿宋_GB2312"/>
                <w:snapToGrid w:val="0"/>
                <w:kern w:val="0"/>
                <w:sz w:val="30"/>
                <w:szCs w:val="30"/>
                <w:lang w:bidi="ar"/>
              </w:rPr>
              <w:t>2</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Fonts w:ascii="仿宋" w:hAnsi="仿宋" w:eastAsia="仿宋" w:cs="仿宋_GB2312"/>
                <w:snapToGrid w:val="0"/>
                <w:kern w:val="0"/>
                <w:sz w:val="30"/>
                <w:szCs w:val="30"/>
              </w:rPr>
            </w:pPr>
            <w:r>
              <w:rPr>
                <w:rStyle w:val="18"/>
                <w:rFonts w:hint="eastAsia" w:ascii="仿宋" w:hAnsi="仿宋" w:eastAsia="仿宋" w:cs="仿宋_GB2312"/>
                <w:snapToGrid w:val="0"/>
                <w:kern w:val="0"/>
                <w:sz w:val="30"/>
                <w:szCs w:val="30"/>
                <w:lang w:bidi="ar"/>
              </w:rPr>
              <w:t>地方一般公共预算收入增长</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Fonts w:ascii="仿宋" w:hAnsi="仿宋" w:eastAsia="仿宋" w:cs="仿宋_GB2312"/>
                <w:snapToGrid w:val="0"/>
                <w:kern w:val="0"/>
                <w:sz w:val="30"/>
                <w:szCs w:val="30"/>
              </w:rPr>
            </w:pPr>
            <w:r>
              <w:rPr>
                <w:rStyle w:val="18"/>
                <w:rFonts w:hint="eastAsia" w:ascii="仿宋" w:hAnsi="仿宋" w:eastAsia="仿宋" w:cs="仿宋_GB2312"/>
                <w:snapToGrid w:val="0"/>
                <w:kern w:val="0"/>
                <w:sz w:val="30"/>
                <w:szCs w:val="30"/>
                <w:lang w:bidi="ar"/>
              </w:rPr>
              <w:t>8%以上</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jc w:val="center"/>
              <w:textAlignment w:val="center"/>
              <w:rPr>
                <w:rFonts w:ascii="仿宋" w:hAnsi="仿宋" w:eastAsia="仿宋" w:cs="仿宋_GB2312"/>
                <w:snapToGrid w:val="0"/>
                <w:kern w:val="0"/>
                <w:sz w:val="30"/>
                <w:szCs w:val="30"/>
                <w:lang w:bidi="ar"/>
              </w:rPr>
            </w:pPr>
            <w:r>
              <w:rPr>
                <w:rFonts w:hint="eastAsia" w:ascii="仿宋" w:hAnsi="仿宋" w:eastAsia="仿宋"/>
                <w:snapToGrid w:val="0"/>
                <w:kern w:val="0"/>
                <w:sz w:val="30"/>
                <w:szCs w:val="30"/>
                <w:shd w:val="clear" w:color="auto" w:fill="FFFFFF"/>
              </w:rPr>
              <w:t>4.9</w:t>
            </w:r>
            <w:r>
              <w:rPr>
                <w:rFonts w:hint="eastAsia" w:ascii="仿宋" w:hAnsi="仿宋" w:eastAsia="仿宋"/>
                <w:snapToGrid w:val="0"/>
                <w:kern w:val="0"/>
                <w:sz w:val="30"/>
                <w:szCs w:val="30"/>
                <w:shd w:val="clear" w:color="auto" w:fill="FFFFFF"/>
                <w:lang w:val="en"/>
              </w:rPr>
              <w:t>6</w:t>
            </w:r>
            <w:r>
              <w:rPr>
                <w:rFonts w:hint="eastAsia" w:ascii="仿宋" w:hAnsi="仿宋" w:eastAsia="仿宋"/>
                <w:snapToGrid w:val="0"/>
                <w:kern w:val="0"/>
                <w:sz w:val="30"/>
                <w:szCs w:val="30"/>
                <w:shd w:val="clear" w:color="auto" w:fill="FFFFFF"/>
              </w:rPr>
              <w:t>%（剔除退税</w:t>
            </w:r>
            <w:r>
              <w:rPr>
                <w:rFonts w:hint="eastAsia" w:ascii="仿宋" w:hAnsi="仿宋" w:eastAsia="仿宋"/>
                <w:snapToGrid w:val="0"/>
                <w:kern w:val="0"/>
                <w:sz w:val="30"/>
                <w:szCs w:val="30"/>
                <w:shd w:val="clear" w:color="auto" w:fill="FFFFFF"/>
                <w:lang w:val="en"/>
              </w:rPr>
              <w:t>等</w:t>
            </w:r>
            <w:r>
              <w:rPr>
                <w:rFonts w:hint="eastAsia" w:ascii="仿宋" w:hAnsi="仿宋" w:eastAsia="仿宋"/>
                <w:snapToGrid w:val="0"/>
                <w:kern w:val="0"/>
                <w:sz w:val="30"/>
                <w:szCs w:val="30"/>
                <w:shd w:val="clear" w:color="auto" w:fill="FFFFFF"/>
              </w:rPr>
              <w:t>因素影响，同口径增长13.89%）</w:t>
            </w:r>
          </w:p>
        </w:tc>
      </w:tr>
      <w:tr>
        <w:tblPrEx>
          <w:tblCellMar>
            <w:top w:w="0" w:type="dxa"/>
            <w:left w:w="57" w:type="dxa"/>
            <w:bottom w:w="0" w:type="dxa"/>
            <w:right w:w="57" w:type="dxa"/>
          </w:tblCellMar>
        </w:tblPrEx>
        <w:trPr>
          <w:trHeight w:val="799" w:hRule="atLeast"/>
          <w:jc w:val="center"/>
        </w:trPr>
        <w:tc>
          <w:tcPr>
            <w:tcW w:w="8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Fonts w:ascii="仿宋" w:hAnsi="仿宋" w:eastAsia="仿宋" w:cs="仿宋_GB2312"/>
                <w:snapToGrid w:val="0"/>
                <w:kern w:val="0"/>
                <w:sz w:val="30"/>
                <w:szCs w:val="30"/>
              </w:rPr>
            </w:pPr>
            <w:r>
              <w:rPr>
                <w:rStyle w:val="18"/>
                <w:rFonts w:hint="eastAsia" w:ascii="仿宋" w:hAnsi="仿宋" w:eastAsia="仿宋" w:cs="仿宋_GB2312"/>
                <w:snapToGrid w:val="0"/>
                <w:kern w:val="0"/>
                <w:sz w:val="30"/>
                <w:szCs w:val="30"/>
                <w:lang w:bidi="ar"/>
              </w:rPr>
              <w:t>3</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Style w:val="19"/>
                <w:rFonts w:ascii="仿宋" w:hAnsi="仿宋" w:eastAsia="仿宋" w:cs="仿宋_GB2312"/>
                <w:snapToGrid w:val="0"/>
                <w:sz w:val="30"/>
                <w:szCs w:val="30"/>
              </w:rPr>
            </w:pPr>
            <w:r>
              <w:rPr>
                <w:rStyle w:val="18"/>
                <w:rFonts w:hint="eastAsia" w:ascii="仿宋" w:hAnsi="仿宋" w:eastAsia="仿宋" w:cs="仿宋_GB2312"/>
                <w:snapToGrid w:val="0"/>
                <w:kern w:val="0"/>
                <w:sz w:val="30"/>
                <w:szCs w:val="30"/>
                <w:lang w:bidi="ar"/>
              </w:rPr>
              <w:t>规模以上工业增加值增长</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Style w:val="19"/>
                <w:rFonts w:ascii="仿宋" w:hAnsi="仿宋" w:eastAsia="仿宋" w:cs="仿宋_GB2312"/>
                <w:snapToGrid w:val="0"/>
                <w:sz w:val="30"/>
                <w:szCs w:val="30"/>
              </w:rPr>
            </w:pPr>
            <w:r>
              <w:rPr>
                <w:rStyle w:val="18"/>
                <w:rFonts w:hint="eastAsia" w:ascii="仿宋" w:hAnsi="仿宋" w:eastAsia="仿宋" w:cs="仿宋_GB2312"/>
                <w:snapToGrid w:val="0"/>
                <w:kern w:val="0"/>
                <w:sz w:val="30"/>
                <w:szCs w:val="30"/>
                <w:lang w:bidi="ar"/>
              </w:rPr>
              <w:t>8%以上</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4.3%</w:t>
            </w:r>
          </w:p>
        </w:tc>
      </w:tr>
      <w:tr>
        <w:tblPrEx>
          <w:tblCellMar>
            <w:top w:w="0" w:type="dxa"/>
            <w:left w:w="57" w:type="dxa"/>
            <w:bottom w:w="0" w:type="dxa"/>
            <w:right w:w="57" w:type="dxa"/>
          </w:tblCellMar>
        </w:tblPrEx>
        <w:trPr>
          <w:trHeight w:val="799" w:hRule="atLeast"/>
          <w:jc w:val="center"/>
        </w:trPr>
        <w:tc>
          <w:tcPr>
            <w:tcW w:w="8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Fonts w:ascii="仿宋" w:hAnsi="仿宋" w:eastAsia="仿宋" w:cs="仿宋_GB2312"/>
                <w:snapToGrid w:val="0"/>
                <w:kern w:val="0"/>
                <w:sz w:val="30"/>
                <w:szCs w:val="30"/>
              </w:rPr>
            </w:pPr>
            <w:r>
              <w:rPr>
                <w:rStyle w:val="18"/>
                <w:rFonts w:hint="eastAsia" w:ascii="仿宋" w:hAnsi="仿宋" w:eastAsia="仿宋" w:cs="仿宋_GB2312"/>
                <w:snapToGrid w:val="0"/>
                <w:kern w:val="0"/>
                <w:sz w:val="30"/>
                <w:szCs w:val="30"/>
                <w:lang w:bidi="ar"/>
              </w:rPr>
              <w:t>4</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Style w:val="19"/>
                <w:rFonts w:ascii="仿宋" w:hAnsi="仿宋" w:eastAsia="仿宋" w:cs="仿宋_GB2312"/>
                <w:snapToGrid w:val="0"/>
                <w:sz w:val="30"/>
                <w:szCs w:val="30"/>
              </w:rPr>
            </w:pPr>
            <w:r>
              <w:rPr>
                <w:rStyle w:val="18"/>
                <w:rFonts w:hint="eastAsia" w:ascii="仿宋" w:hAnsi="仿宋" w:eastAsia="仿宋" w:cs="仿宋_GB2312"/>
                <w:snapToGrid w:val="0"/>
                <w:kern w:val="0"/>
                <w:sz w:val="30"/>
                <w:szCs w:val="30"/>
                <w:lang w:bidi="ar"/>
              </w:rPr>
              <w:t>固定资产投资增长</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7.5%以上，</w:t>
            </w:r>
          </w:p>
          <w:p>
            <w:pPr>
              <w:overflowPunct w:val="0"/>
              <w:adjustRightInd w:val="0"/>
              <w:snapToGrid w:val="0"/>
              <w:jc w:val="center"/>
              <w:textAlignment w:val="center"/>
              <w:rPr>
                <w:rStyle w:val="19"/>
                <w:rFonts w:ascii="仿宋" w:hAnsi="仿宋" w:eastAsia="仿宋" w:cs="仿宋_GB2312"/>
                <w:snapToGrid w:val="0"/>
                <w:sz w:val="30"/>
                <w:szCs w:val="30"/>
              </w:rPr>
            </w:pPr>
            <w:r>
              <w:rPr>
                <w:rStyle w:val="18"/>
                <w:rFonts w:hint="eastAsia" w:ascii="仿宋" w:hAnsi="仿宋" w:eastAsia="仿宋" w:cs="仿宋_GB2312"/>
                <w:snapToGrid w:val="0"/>
                <w:kern w:val="0"/>
                <w:sz w:val="30"/>
                <w:szCs w:val="30"/>
                <w:lang w:bidi="ar"/>
              </w:rPr>
              <w:t>力争8%</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5.3%</w:t>
            </w:r>
          </w:p>
        </w:tc>
      </w:tr>
      <w:tr>
        <w:tblPrEx>
          <w:tblCellMar>
            <w:top w:w="0" w:type="dxa"/>
            <w:left w:w="57" w:type="dxa"/>
            <w:bottom w:w="0" w:type="dxa"/>
            <w:right w:w="57" w:type="dxa"/>
          </w:tblCellMar>
        </w:tblPrEx>
        <w:trPr>
          <w:trHeight w:val="799" w:hRule="atLeast"/>
          <w:jc w:val="center"/>
        </w:trPr>
        <w:tc>
          <w:tcPr>
            <w:tcW w:w="8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Fonts w:ascii="仿宋" w:hAnsi="仿宋" w:eastAsia="仿宋" w:cs="仿宋_GB2312"/>
                <w:snapToGrid w:val="0"/>
                <w:kern w:val="0"/>
                <w:sz w:val="30"/>
                <w:szCs w:val="30"/>
              </w:rPr>
            </w:pPr>
            <w:r>
              <w:rPr>
                <w:rStyle w:val="18"/>
                <w:rFonts w:hint="eastAsia" w:ascii="仿宋" w:hAnsi="仿宋" w:eastAsia="仿宋" w:cs="仿宋_GB2312"/>
                <w:snapToGrid w:val="0"/>
                <w:kern w:val="0"/>
                <w:sz w:val="30"/>
                <w:szCs w:val="30"/>
                <w:lang w:bidi="ar"/>
              </w:rPr>
              <w:t>5</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Style w:val="19"/>
                <w:rFonts w:ascii="仿宋" w:hAnsi="仿宋" w:eastAsia="仿宋" w:cs="仿宋_GB2312"/>
                <w:snapToGrid w:val="0"/>
                <w:sz w:val="30"/>
                <w:szCs w:val="30"/>
              </w:rPr>
            </w:pPr>
            <w:r>
              <w:rPr>
                <w:rStyle w:val="18"/>
                <w:rFonts w:hint="eastAsia" w:ascii="仿宋" w:hAnsi="仿宋" w:eastAsia="仿宋" w:cs="仿宋_GB2312"/>
                <w:snapToGrid w:val="0"/>
                <w:kern w:val="0"/>
                <w:sz w:val="30"/>
                <w:szCs w:val="30"/>
                <w:lang w:bidi="ar"/>
              </w:rPr>
              <w:t>社会消费品零售总额增长</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Style w:val="19"/>
                <w:rFonts w:ascii="仿宋" w:hAnsi="仿宋" w:eastAsia="仿宋" w:cs="仿宋_GB2312"/>
                <w:snapToGrid w:val="0"/>
                <w:sz w:val="30"/>
                <w:szCs w:val="30"/>
              </w:rPr>
            </w:pPr>
            <w:r>
              <w:rPr>
                <w:rStyle w:val="18"/>
                <w:rFonts w:hint="eastAsia" w:ascii="仿宋" w:hAnsi="仿宋" w:eastAsia="仿宋" w:cs="仿宋_GB2312"/>
                <w:snapToGrid w:val="0"/>
                <w:kern w:val="0"/>
                <w:sz w:val="30"/>
                <w:szCs w:val="30"/>
                <w:lang w:bidi="ar"/>
              </w:rPr>
              <w:t>7%以上</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6.2%</w:t>
            </w:r>
          </w:p>
        </w:tc>
      </w:tr>
      <w:tr>
        <w:tblPrEx>
          <w:tblCellMar>
            <w:top w:w="0" w:type="dxa"/>
            <w:left w:w="57" w:type="dxa"/>
            <w:bottom w:w="0" w:type="dxa"/>
            <w:right w:w="57" w:type="dxa"/>
          </w:tblCellMar>
        </w:tblPrEx>
        <w:trPr>
          <w:trHeight w:val="799" w:hRule="atLeast"/>
          <w:jc w:val="center"/>
        </w:trPr>
        <w:tc>
          <w:tcPr>
            <w:tcW w:w="8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Fonts w:ascii="仿宋" w:hAnsi="仿宋" w:eastAsia="仿宋" w:cs="仿宋_GB2312"/>
                <w:snapToGrid w:val="0"/>
                <w:kern w:val="0"/>
                <w:sz w:val="30"/>
                <w:szCs w:val="30"/>
              </w:rPr>
            </w:pPr>
            <w:r>
              <w:rPr>
                <w:rStyle w:val="18"/>
                <w:rFonts w:hint="eastAsia" w:ascii="仿宋" w:hAnsi="仿宋" w:eastAsia="仿宋" w:cs="仿宋_GB2312"/>
                <w:snapToGrid w:val="0"/>
                <w:kern w:val="0"/>
                <w:sz w:val="30"/>
                <w:szCs w:val="30"/>
                <w:lang w:bidi="ar"/>
              </w:rPr>
              <w:t>6</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Fonts w:ascii="仿宋" w:hAnsi="仿宋" w:eastAsia="仿宋" w:cs="仿宋_GB2312"/>
                <w:snapToGrid w:val="0"/>
                <w:kern w:val="0"/>
                <w:sz w:val="30"/>
                <w:szCs w:val="30"/>
              </w:rPr>
            </w:pPr>
            <w:r>
              <w:rPr>
                <w:rStyle w:val="18"/>
                <w:rFonts w:hint="eastAsia" w:ascii="仿宋" w:hAnsi="仿宋" w:eastAsia="仿宋" w:cs="仿宋_GB2312"/>
                <w:snapToGrid w:val="0"/>
                <w:kern w:val="0"/>
                <w:sz w:val="30"/>
                <w:szCs w:val="30"/>
                <w:lang w:bidi="ar"/>
              </w:rPr>
              <w:t>进出口总额增长</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Fonts w:ascii="仿宋" w:hAnsi="仿宋" w:eastAsia="仿宋" w:cs="仿宋_GB2312"/>
                <w:snapToGrid w:val="0"/>
                <w:kern w:val="0"/>
                <w:sz w:val="30"/>
                <w:szCs w:val="30"/>
              </w:rPr>
            </w:pPr>
            <w:r>
              <w:rPr>
                <w:rStyle w:val="18"/>
                <w:rFonts w:hint="eastAsia" w:ascii="仿宋" w:hAnsi="仿宋" w:eastAsia="仿宋" w:cs="仿宋_GB2312"/>
                <w:snapToGrid w:val="0"/>
                <w:kern w:val="0"/>
                <w:sz w:val="30"/>
                <w:szCs w:val="30"/>
                <w:lang w:bidi="ar"/>
              </w:rPr>
              <w:t>15%以上</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jc w:val="center"/>
              <w:textAlignment w:val="center"/>
              <w:rPr>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-26.43%</w:t>
            </w:r>
          </w:p>
        </w:tc>
      </w:tr>
      <w:tr>
        <w:tblPrEx>
          <w:tblCellMar>
            <w:top w:w="0" w:type="dxa"/>
            <w:left w:w="57" w:type="dxa"/>
            <w:bottom w:w="0" w:type="dxa"/>
            <w:right w:w="57" w:type="dxa"/>
          </w:tblCellMar>
        </w:tblPrEx>
        <w:trPr>
          <w:trHeight w:val="799" w:hRule="atLeast"/>
          <w:jc w:val="center"/>
        </w:trPr>
        <w:tc>
          <w:tcPr>
            <w:tcW w:w="8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Fonts w:ascii="仿宋" w:hAnsi="仿宋" w:eastAsia="仿宋" w:cs="仿宋_GB2312"/>
                <w:snapToGrid w:val="0"/>
                <w:kern w:val="0"/>
                <w:sz w:val="30"/>
                <w:szCs w:val="30"/>
              </w:rPr>
            </w:pPr>
            <w:r>
              <w:rPr>
                <w:rStyle w:val="18"/>
                <w:rFonts w:hint="eastAsia" w:ascii="仿宋" w:hAnsi="仿宋" w:eastAsia="仿宋" w:cs="仿宋_GB2312"/>
                <w:snapToGrid w:val="0"/>
                <w:kern w:val="0"/>
                <w:sz w:val="30"/>
                <w:szCs w:val="30"/>
                <w:lang w:bidi="ar"/>
              </w:rPr>
              <w:t>7</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Fonts w:ascii="仿宋" w:hAnsi="仿宋" w:eastAsia="仿宋" w:cs="仿宋_GB2312"/>
                <w:snapToGrid w:val="0"/>
                <w:kern w:val="0"/>
                <w:sz w:val="30"/>
                <w:szCs w:val="30"/>
              </w:rPr>
            </w:pPr>
            <w:r>
              <w:rPr>
                <w:rStyle w:val="18"/>
                <w:rFonts w:hint="eastAsia" w:ascii="仿宋" w:hAnsi="仿宋" w:eastAsia="仿宋" w:cs="仿宋_GB2312"/>
                <w:snapToGrid w:val="0"/>
                <w:kern w:val="0"/>
                <w:sz w:val="30"/>
                <w:szCs w:val="30"/>
                <w:lang w:bidi="ar"/>
              </w:rPr>
              <w:t>研发经费投入增长</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Fonts w:ascii="仿宋" w:hAnsi="仿宋" w:eastAsia="仿宋" w:cs="仿宋_GB2312"/>
                <w:snapToGrid w:val="0"/>
                <w:kern w:val="0"/>
                <w:sz w:val="30"/>
                <w:szCs w:val="30"/>
              </w:rPr>
            </w:pPr>
            <w:r>
              <w:rPr>
                <w:rStyle w:val="18"/>
                <w:rFonts w:hint="eastAsia" w:ascii="仿宋" w:hAnsi="仿宋" w:eastAsia="仿宋" w:cs="仿宋_GB2312"/>
                <w:snapToGrid w:val="0"/>
                <w:kern w:val="0"/>
                <w:sz w:val="30"/>
                <w:szCs w:val="30"/>
                <w:lang w:bidi="ar"/>
              </w:rPr>
              <w:t>13%以上</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jc w:val="center"/>
              <w:textAlignment w:val="center"/>
              <w:rPr>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13%以上</w:t>
            </w:r>
          </w:p>
        </w:tc>
      </w:tr>
      <w:tr>
        <w:tblPrEx>
          <w:tblCellMar>
            <w:top w:w="0" w:type="dxa"/>
            <w:left w:w="57" w:type="dxa"/>
            <w:bottom w:w="0" w:type="dxa"/>
            <w:right w:w="57" w:type="dxa"/>
          </w:tblCellMar>
        </w:tblPrEx>
        <w:trPr>
          <w:trHeight w:val="799" w:hRule="atLeast"/>
          <w:jc w:val="center"/>
        </w:trPr>
        <w:tc>
          <w:tcPr>
            <w:tcW w:w="8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Fonts w:ascii="仿宋" w:hAnsi="仿宋" w:eastAsia="仿宋" w:cs="仿宋_GB2312"/>
                <w:snapToGrid w:val="0"/>
                <w:kern w:val="0"/>
                <w:sz w:val="30"/>
                <w:szCs w:val="30"/>
              </w:rPr>
            </w:pPr>
            <w:r>
              <w:rPr>
                <w:rStyle w:val="18"/>
                <w:rFonts w:hint="eastAsia" w:ascii="仿宋" w:hAnsi="仿宋" w:eastAsia="仿宋" w:cs="仿宋_GB2312"/>
                <w:snapToGrid w:val="0"/>
                <w:kern w:val="0"/>
                <w:sz w:val="30"/>
                <w:szCs w:val="30"/>
                <w:lang w:bidi="ar"/>
              </w:rPr>
              <w:t>8</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Fonts w:ascii="仿宋" w:hAnsi="仿宋" w:eastAsia="仿宋" w:cs="仿宋_GB2312"/>
                <w:snapToGrid w:val="0"/>
                <w:kern w:val="0"/>
                <w:sz w:val="30"/>
                <w:szCs w:val="30"/>
              </w:rPr>
            </w:pPr>
            <w:r>
              <w:rPr>
                <w:rStyle w:val="18"/>
                <w:rFonts w:hint="eastAsia" w:ascii="仿宋" w:hAnsi="仿宋" w:eastAsia="仿宋" w:cs="仿宋_GB2312"/>
                <w:snapToGrid w:val="0"/>
                <w:kern w:val="0"/>
                <w:sz w:val="30"/>
                <w:szCs w:val="30"/>
                <w:lang w:bidi="ar"/>
              </w:rPr>
              <w:t>城镇调查失业率</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Fonts w:ascii="仿宋" w:hAnsi="仿宋" w:eastAsia="仿宋" w:cs="仿宋_GB2312"/>
                <w:snapToGrid w:val="0"/>
                <w:kern w:val="0"/>
                <w:sz w:val="30"/>
                <w:szCs w:val="30"/>
              </w:rPr>
            </w:pPr>
            <w:r>
              <w:rPr>
                <w:rStyle w:val="18"/>
                <w:rFonts w:hint="eastAsia" w:ascii="仿宋" w:hAnsi="仿宋" w:eastAsia="仿宋" w:cs="仿宋_GB2312"/>
                <w:snapToGrid w:val="0"/>
                <w:kern w:val="0"/>
                <w:sz w:val="30"/>
                <w:szCs w:val="30"/>
                <w:lang w:bidi="ar"/>
              </w:rPr>
              <w:t>5.5%以内</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jc w:val="center"/>
              <w:textAlignment w:val="center"/>
              <w:rPr>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5.5%以内</w:t>
            </w:r>
          </w:p>
        </w:tc>
      </w:tr>
      <w:tr>
        <w:tblPrEx>
          <w:tblCellMar>
            <w:top w:w="0" w:type="dxa"/>
            <w:left w:w="57" w:type="dxa"/>
            <w:bottom w:w="0" w:type="dxa"/>
            <w:right w:w="57" w:type="dxa"/>
          </w:tblCellMar>
        </w:tblPrEx>
        <w:trPr>
          <w:trHeight w:val="799" w:hRule="atLeast"/>
          <w:jc w:val="center"/>
        </w:trPr>
        <w:tc>
          <w:tcPr>
            <w:tcW w:w="8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Fonts w:ascii="仿宋" w:hAnsi="仿宋" w:eastAsia="仿宋" w:cs="仿宋_GB2312"/>
                <w:snapToGrid w:val="0"/>
                <w:kern w:val="0"/>
                <w:sz w:val="30"/>
                <w:szCs w:val="30"/>
              </w:rPr>
            </w:pPr>
            <w:r>
              <w:rPr>
                <w:rFonts w:hint="eastAsia" w:ascii="仿宋" w:hAnsi="仿宋" w:eastAsia="仿宋" w:cs="仿宋_GB2312"/>
                <w:snapToGrid w:val="0"/>
                <w:kern w:val="0"/>
                <w:sz w:val="30"/>
                <w:szCs w:val="30"/>
              </w:rPr>
              <w:t>9</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Fonts w:ascii="仿宋" w:hAnsi="仿宋" w:eastAsia="仿宋" w:cs="仿宋_GB2312"/>
                <w:snapToGrid w:val="0"/>
                <w:kern w:val="0"/>
                <w:sz w:val="30"/>
                <w:szCs w:val="30"/>
              </w:rPr>
            </w:pPr>
            <w:r>
              <w:rPr>
                <w:rStyle w:val="18"/>
                <w:rFonts w:hint="eastAsia" w:ascii="仿宋" w:hAnsi="仿宋" w:eastAsia="仿宋" w:cs="仿宋_GB2312"/>
                <w:snapToGrid w:val="0"/>
                <w:kern w:val="0"/>
                <w:sz w:val="30"/>
                <w:szCs w:val="30"/>
                <w:lang w:bidi="ar"/>
              </w:rPr>
              <w:t>居民人均可支配收入增长</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Fonts w:ascii="仿宋" w:hAnsi="仿宋" w:eastAsia="仿宋" w:cs="仿宋_GB2312"/>
                <w:snapToGrid w:val="0"/>
                <w:kern w:val="0"/>
                <w:sz w:val="30"/>
                <w:szCs w:val="30"/>
              </w:rPr>
            </w:pPr>
            <w:r>
              <w:rPr>
                <w:rStyle w:val="18"/>
                <w:rFonts w:hint="eastAsia" w:ascii="仿宋" w:hAnsi="仿宋" w:eastAsia="仿宋" w:cs="仿宋_GB2312"/>
                <w:snapToGrid w:val="0"/>
                <w:kern w:val="0"/>
                <w:sz w:val="30"/>
                <w:szCs w:val="30"/>
                <w:lang w:bidi="ar"/>
              </w:rPr>
              <w:t>与经济增长同步</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jc w:val="center"/>
              <w:textAlignment w:val="center"/>
              <w:rPr>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4.2%</w:t>
            </w:r>
          </w:p>
        </w:tc>
      </w:tr>
      <w:tr>
        <w:tblPrEx>
          <w:tblCellMar>
            <w:top w:w="0" w:type="dxa"/>
            <w:left w:w="57" w:type="dxa"/>
            <w:bottom w:w="0" w:type="dxa"/>
            <w:right w:w="57" w:type="dxa"/>
          </w:tblCellMar>
        </w:tblPrEx>
        <w:trPr>
          <w:trHeight w:val="799" w:hRule="atLeast"/>
          <w:jc w:val="center"/>
        </w:trPr>
        <w:tc>
          <w:tcPr>
            <w:tcW w:w="8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Fonts w:ascii="仿宋" w:hAnsi="仿宋" w:eastAsia="仿宋" w:cs="仿宋_GB2312"/>
                <w:snapToGrid w:val="0"/>
                <w:kern w:val="0"/>
                <w:sz w:val="30"/>
                <w:szCs w:val="30"/>
              </w:rPr>
            </w:pPr>
            <w:r>
              <w:rPr>
                <w:rFonts w:hint="eastAsia" w:ascii="仿宋" w:hAnsi="仿宋" w:eastAsia="仿宋" w:cs="仿宋_GB2312"/>
                <w:snapToGrid w:val="0"/>
                <w:kern w:val="0"/>
                <w:sz w:val="30"/>
                <w:szCs w:val="30"/>
              </w:rPr>
              <w:t>10</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Fonts w:ascii="仿宋" w:hAnsi="仿宋" w:eastAsia="仿宋" w:cs="仿宋_GB2312"/>
                <w:snapToGrid w:val="0"/>
                <w:kern w:val="0"/>
                <w:sz w:val="30"/>
                <w:szCs w:val="30"/>
              </w:rPr>
            </w:pPr>
            <w:r>
              <w:rPr>
                <w:rStyle w:val="18"/>
                <w:rFonts w:hint="eastAsia" w:ascii="仿宋" w:hAnsi="仿宋" w:eastAsia="仿宋" w:cs="仿宋_GB2312"/>
                <w:snapToGrid w:val="0"/>
                <w:kern w:val="0"/>
                <w:sz w:val="30"/>
                <w:szCs w:val="30"/>
                <w:lang w:bidi="ar"/>
              </w:rPr>
              <w:t>城镇新增就业</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Fonts w:ascii="仿宋" w:hAnsi="仿宋" w:eastAsia="仿宋" w:cs="仿宋_GB2312"/>
                <w:snapToGrid w:val="0"/>
                <w:kern w:val="0"/>
                <w:sz w:val="30"/>
                <w:szCs w:val="30"/>
              </w:rPr>
            </w:pPr>
            <w:r>
              <w:rPr>
                <w:rStyle w:val="18"/>
                <w:rFonts w:hint="eastAsia" w:ascii="仿宋" w:hAnsi="仿宋" w:eastAsia="仿宋" w:cs="仿宋_GB2312"/>
                <w:snapToGrid w:val="0"/>
                <w:kern w:val="0"/>
                <w:sz w:val="30"/>
                <w:szCs w:val="30"/>
                <w:lang w:bidi="ar"/>
              </w:rPr>
              <w:t>1.8万人以上</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jc w:val="center"/>
              <w:textAlignment w:val="center"/>
              <w:rPr>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1.9万人</w:t>
            </w:r>
          </w:p>
        </w:tc>
      </w:tr>
      <w:tr>
        <w:tblPrEx>
          <w:tblCellMar>
            <w:top w:w="0" w:type="dxa"/>
            <w:left w:w="57" w:type="dxa"/>
            <w:bottom w:w="0" w:type="dxa"/>
            <w:right w:w="57" w:type="dxa"/>
          </w:tblCellMar>
        </w:tblPrEx>
        <w:trPr>
          <w:trHeight w:val="799" w:hRule="atLeast"/>
          <w:jc w:val="center"/>
        </w:trPr>
        <w:tc>
          <w:tcPr>
            <w:tcW w:w="8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Fonts w:ascii="仿宋" w:hAnsi="仿宋" w:eastAsia="仿宋" w:cs="仿宋_GB2312"/>
                <w:snapToGrid w:val="0"/>
                <w:kern w:val="0"/>
                <w:sz w:val="30"/>
                <w:szCs w:val="30"/>
              </w:rPr>
            </w:pPr>
            <w:r>
              <w:rPr>
                <w:rStyle w:val="18"/>
                <w:rFonts w:hint="eastAsia" w:ascii="仿宋" w:hAnsi="仿宋" w:eastAsia="仿宋" w:cs="仿宋_GB2312"/>
                <w:snapToGrid w:val="0"/>
                <w:kern w:val="0"/>
                <w:sz w:val="30"/>
                <w:szCs w:val="30"/>
                <w:lang w:bidi="ar"/>
              </w:rPr>
              <w:t>11</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Fonts w:ascii="仿宋" w:hAnsi="仿宋" w:eastAsia="仿宋" w:cs="仿宋_GB2312"/>
                <w:snapToGrid w:val="0"/>
                <w:kern w:val="0"/>
                <w:sz w:val="30"/>
                <w:szCs w:val="30"/>
              </w:rPr>
            </w:pPr>
            <w:r>
              <w:rPr>
                <w:rStyle w:val="18"/>
                <w:rFonts w:hint="eastAsia" w:ascii="仿宋" w:hAnsi="仿宋" w:eastAsia="仿宋" w:cs="仿宋_GB2312"/>
                <w:snapToGrid w:val="0"/>
                <w:kern w:val="0"/>
                <w:sz w:val="30"/>
                <w:szCs w:val="30"/>
                <w:lang w:bidi="ar"/>
              </w:rPr>
              <w:t>粮食产量</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Fonts w:ascii="仿宋" w:hAnsi="仿宋" w:eastAsia="仿宋" w:cs="仿宋_GB2312"/>
                <w:snapToGrid w:val="0"/>
                <w:kern w:val="0"/>
                <w:sz w:val="30"/>
                <w:szCs w:val="30"/>
              </w:rPr>
            </w:pPr>
            <w:r>
              <w:rPr>
                <w:rStyle w:val="18"/>
                <w:rFonts w:hint="eastAsia" w:ascii="仿宋" w:hAnsi="仿宋" w:eastAsia="仿宋" w:cs="仿宋_GB2312"/>
                <w:snapToGrid w:val="0"/>
                <w:kern w:val="0"/>
                <w:sz w:val="30"/>
                <w:szCs w:val="30"/>
                <w:lang w:bidi="ar"/>
              </w:rPr>
              <w:t>10亿斤</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jc w:val="center"/>
              <w:textAlignment w:val="center"/>
              <w:rPr>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10.3亿斤</w:t>
            </w:r>
          </w:p>
        </w:tc>
      </w:tr>
      <w:tr>
        <w:tblPrEx>
          <w:tblCellMar>
            <w:top w:w="0" w:type="dxa"/>
            <w:left w:w="57" w:type="dxa"/>
            <w:bottom w:w="0" w:type="dxa"/>
            <w:right w:w="57" w:type="dxa"/>
          </w:tblCellMar>
        </w:tblPrEx>
        <w:trPr>
          <w:trHeight w:val="799" w:hRule="atLeast"/>
          <w:jc w:val="center"/>
        </w:trPr>
        <w:tc>
          <w:tcPr>
            <w:tcW w:w="8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Style w:val="19"/>
                <w:rFonts w:ascii="仿宋" w:hAnsi="仿宋" w:eastAsia="仿宋" w:cs="仿宋_GB2312"/>
                <w:snapToGrid w:val="0"/>
                <w:sz w:val="30"/>
                <w:szCs w:val="30"/>
              </w:rPr>
            </w:pPr>
            <w:r>
              <w:rPr>
                <w:rStyle w:val="18"/>
                <w:rFonts w:hint="eastAsia" w:ascii="仿宋" w:hAnsi="仿宋" w:eastAsia="仿宋" w:cs="仿宋_GB2312"/>
                <w:snapToGrid w:val="0"/>
                <w:kern w:val="0"/>
                <w:sz w:val="30"/>
                <w:szCs w:val="30"/>
                <w:lang w:bidi="ar"/>
              </w:rPr>
              <w:t>12</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Fonts w:ascii="仿宋" w:hAnsi="仿宋" w:eastAsia="仿宋" w:cs="仿宋_GB2312"/>
                <w:snapToGrid w:val="0"/>
                <w:kern w:val="0"/>
                <w:sz w:val="30"/>
                <w:szCs w:val="30"/>
              </w:rPr>
            </w:pPr>
            <w:r>
              <w:rPr>
                <w:rStyle w:val="18"/>
                <w:rFonts w:hint="eastAsia" w:ascii="仿宋" w:hAnsi="仿宋" w:eastAsia="仿宋" w:cs="仿宋_GB2312"/>
                <w:snapToGrid w:val="0"/>
                <w:kern w:val="0"/>
                <w:sz w:val="30"/>
                <w:szCs w:val="30"/>
                <w:lang w:bidi="ar"/>
              </w:rPr>
              <w:t>减排任务</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Fonts w:ascii="仿宋" w:hAnsi="仿宋" w:eastAsia="仿宋" w:cs="仿宋_GB2312"/>
                <w:snapToGrid w:val="0"/>
                <w:kern w:val="0"/>
                <w:sz w:val="30"/>
                <w:szCs w:val="30"/>
              </w:rPr>
            </w:pPr>
            <w:r>
              <w:rPr>
                <w:rStyle w:val="18"/>
                <w:rFonts w:hint="eastAsia" w:ascii="仿宋" w:hAnsi="仿宋" w:eastAsia="仿宋" w:cs="仿宋_GB2312"/>
                <w:snapToGrid w:val="0"/>
                <w:kern w:val="0"/>
                <w:sz w:val="30"/>
                <w:szCs w:val="30"/>
                <w:lang w:bidi="ar"/>
              </w:rPr>
              <w:t>达省定目标</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jc w:val="center"/>
              <w:textAlignment w:val="center"/>
              <w:rPr>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达省定目标</w:t>
            </w:r>
          </w:p>
        </w:tc>
      </w:tr>
    </w:tbl>
    <w:p>
      <w:pPr>
        <w:overflowPunct w:val="0"/>
        <w:adjustRightInd w:val="0"/>
        <w:snapToGrid w:val="0"/>
        <w:spacing w:line="600" w:lineRule="exact"/>
        <w:rPr>
          <w:rFonts w:ascii="宋体" w:hAnsi="宋体"/>
          <w:b/>
          <w:snapToGrid w:val="0"/>
          <w:color w:val="000000"/>
          <w:kern w:val="0"/>
          <w:sz w:val="32"/>
          <w:szCs w:val="32"/>
        </w:rPr>
      </w:pPr>
      <w:r>
        <w:rPr>
          <w:rStyle w:val="19"/>
          <w:rFonts w:ascii="Times New Roman" w:hAnsi="Times New Roman"/>
          <w:kern w:val="2"/>
          <w:sz w:val="21"/>
          <w:szCs w:val="24"/>
        </w:rPr>
        <w:br w:type="page"/>
      </w:r>
      <w:r>
        <w:rPr>
          <w:rFonts w:ascii="宋体" w:hAnsi="宋体"/>
          <w:b/>
          <w:snapToGrid w:val="0"/>
          <w:color w:val="000000"/>
          <w:kern w:val="0"/>
          <w:sz w:val="32"/>
          <w:szCs w:val="32"/>
        </w:rPr>
        <w:t>附件2</w:t>
      </w:r>
    </w:p>
    <w:p>
      <w:pPr>
        <w:adjustRightInd w:val="0"/>
        <w:snapToGrid w:val="0"/>
        <w:spacing w:before="312" w:beforeLines="100" w:after="343" w:afterLines="110" w:line="560" w:lineRule="exact"/>
        <w:jc w:val="center"/>
        <w:rPr>
          <w:rFonts w:ascii="方正小标宋简体" w:hAnsi="华文中宋" w:eastAsia="方正小标宋简体"/>
          <w:snapToGrid w:val="0"/>
          <w:color w:val="000000"/>
          <w:kern w:val="0"/>
          <w:sz w:val="40"/>
          <w:szCs w:val="40"/>
        </w:rPr>
      </w:pPr>
      <w:r>
        <w:rPr>
          <w:rFonts w:hint="eastAsia" w:ascii="方正小标宋简体" w:hAnsi="华文中宋" w:eastAsia="方正小标宋简体"/>
          <w:snapToGrid w:val="0"/>
          <w:color w:val="000000"/>
          <w:kern w:val="0"/>
          <w:sz w:val="40"/>
          <w:szCs w:val="40"/>
        </w:rPr>
        <w:t>长沙县2024年经济社会发展计划主要预期指标建议</w:t>
      </w:r>
    </w:p>
    <w:tbl>
      <w:tblPr>
        <w:tblStyle w:val="11"/>
        <w:tblW w:w="8844" w:type="dxa"/>
        <w:jc w:val="center"/>
        <w:tblLayout w:type="fixed"/>
        <w:tblCellMar>
          <w:top w:w="0" w:type="dxa"/>
          <w:left w:w="57" w:type="dxa"/>
          <w:bottom w:w="0" w:type="dxa"/>
          <w:right w:w="57" w:type="dxa"/>
        </w:tblCellMar>
      </w:tblPr>
      <w:tblGrid>
        <w:gridCol w:w="954"/>
        <w:gridCol w:w="3921"/>
        <w:gridCol w:w="2410"/>
        <w:gridCol w:w="1559"/>
      </w:tblGrid>
      <w:tr>
        <w:tblPrEx>
          <w:tblCellMar>
            <w:top w:w="0" w:type="dxa"/>
            <w:left w:w="57" w:type="dxa"/>
            <w:bottom w:w="0" w:type="dxa"/>
            <w:right w:w="57" w:type="dxa"/>
          </w:tblCellMar>
        </w:tblPrEx>
        <w:trPr>
          <w:trHeight w:val="816" w:hRule="atLeast"/>
          <w:jc w:val="center"/>
        </w:trPr>
        <w:tc>
          <w:tcPr>
            <w:tcW w:w="95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Style w:val="19"/>
                <w:rFonts w:ascii="黑体" w:hAnsi="黑体" w:eastAsia="黑体" w:cs="黑体"/>
                <w:snapToGrid w:val="0"/>
                <w:sz w:val="30"/>
                <w:szCs w:val="30"/>
              </w:rPr>
            </w:pPr>
            <w:r>
              <w:rPr>
                <w:rStyle w:val="19"/>
                <w:rFonts w:hint="eastAsia" w:ascii="黑体" w:hAnsi="黑体" w:eastAsia="黑体" w:cs="黑体"/>
                <w:snapToGrid w:val="0"/>
                <w:sz w:val="30"/>
                <w:szCs w:val="30"/>
              </w:rPr>
              <w:t>序号</w:t>
            </w:r>
          </w:p>
        </w:tc>
        <w:tc>
          <w:tcPr>
            <w:tcW w:w="392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Style w:val="19"/>
                <w:rFonts w:ascii="黑体" w:hAnsi="黑体" w:eastAsia="黑体" w:cs="黑体"/>
                <w:snapToGrid w:val="0"/>
                <w:sz w:val="30"/>
                <w:szCs w:val="30"/>
              </w:rPr>
            </w:pPr>
            <w:r>
              <w:rPr>
                <w:rStyle w:val="19"/>
                <w:rFonts w:hint="eastAsia" w:ascii="黑体" w:hAnsi="黑体" w:eastAsia="黑体" w:cs="黑体"/>
                <w:snapToGrid w:val="0"/>
                <w:sz w:val="30"/>
                <w:szCs w:val="30"/>
              </w:rPr>
              <w:t>主要指标</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jc w:val="center"/>
              <w:textAlignment w:val="center"/>
              <w:rPr>
                <w:rStyle w:val="19"/>
                <w:rFonts w:ascii="黑体" w:hAnsi="黑体" w:eastAsia="黑体" w:cs="黑体"/>
                <w:snapToGrid w:val="0"/>
                <w:sz w:val="30"/>
                <w:szCs w:val="30"/>
              </w:rPr>
            </w:pPr>
            <w:r>
              <w:rPr>
                <w:rStyle w:val="19"/>
                <w:rFonts w:hint="eastAsia" w:ascii="黑体" w:hAnsi="黑体" w:eastAsia="黑体" w:cs="黑体"/>
                <w:snapToGrid w:val="0"/>
                <w:sz w:val="30"/>
                <w:szCs w:val="30"/>
              </w:rPr>
              <w:t>2024年县目标</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jc w:val="center"/>
              <w:textAlignment w:val="center"/>
              <w:rPr>
                <w:rStyle w:val="19"/>
                <w:rFonts w:ascii="黑体" w:hAnsi="黑体" w:eastAsia="黑体" w:cs="黑体"/>
                <w:snapToGrid w:val="0"/>
                <w:sz w:val="30"/>
                <w:szCs w:val="30"/>
              </w:rPr>
            </w:pPr>
            <w:r>
              <w:rPr>
                <w:rStyle w:val="19"/>
                <w:rFonts w:hint="eastAsia" w:ascii="黑体" w:hAnsi="黑体" w:eastAsia="黑体" w:cs="黑体"/>
                <w:snapToGrid w:val="0"/>
                <w:sz w:val="30"/>
                <w:szCs w:val="30"/>
              </w:rPr>
              <w:t>指标属性</w:t>
            </w:r>
          </w:p>
        </w:tc>
      </w:tr>
      <w:tr>
        <w:tblPrEx>
          <w:tblCellMar>
            <w:top w:w="0" w:type="dxa"/>
            <w:left w:w="57" w:type="dxa"/>
            <w:bottom w:w="0" w:type="dxa"/>
            <w:right w:w="57" w:type="dxa"/>
          </w:tblCellMar>
        </w:tblPrEx>
        <w:trPr>
          <w:trHeight w:val="816" w:hRule="atLeast"/>
          <w:jc w:val="center"/>
        </w:trPr>
        <w:tc>
          <w:tcPr>
            <w:tcW w:w="95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1</w:t>
            </w:r>
          </w:p>
        </w:tc>
        <w:tc>
          <w:tcPr>
            <w:tcW w:w="392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地区生产总值增长</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6%以上</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预期性</w:t>
            </w:r>
          </w:p>
        </w:tc>
      </w:tr>
      <w:tr>
        <w:tblPrEx>
          <w:tblCellMar>
            <w:top w:w="0" w:type="dxa"/>
            <w:left w:w="57" w:type="dxa"/>
            <w:bottom w:w="0" w:type="dxa"/>
            <w:right w:w="57" w:type="dxa"/>
          </w:tblCellMar>
        </w:tblPrEx>
        <w:trPr>
          <w:trHeight w:val="816" w:hRule="atLeast"/>
          <w:jc w:val="center"/>
        </w:trPr>
        <w:tc>
          <w:tcPr>
            <w:tcW w:w="95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2</w:t>
            </w:r>
          </w:p>
        </w:tc>
        <w:tc>
          <w:tcPr>
            <w:tcW w:w="392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地方一般公共预算收入增长</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7%</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预期性</w:t>
            </w:r>
          </w:p>
        </w:tc>
      </w:tr>
      <w:tr>
        <w:tblPrEx>
          <w:tblCellMar>
            <w:top w:w="0" w:type="dxa"/>
            <w:left w:w="57" w:type="dxa"/>
            <w:bottom w:w="0" w:type="dxa"/>
            <w:right w:w="57" w:type="dxa"/>
          </w:tblCellMar>
        </w:tblPrEx>
        <w:trPr>
          <w:trHeight w:val="816" w:hRule="atLeast"/>
          <w:jc w:val="center"/>
        </w:trPr>
        <w:tc>
          <w:tcPr>
            <w:tcW w:w="95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3</w:t>
            </w:r>
          </w:p>
        </w:tc>
        <w:tc>
          <w:tcPr>
            <w:tcW w:w="392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规模以上工业增加值增长</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7.5%</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预期性</w:t>
            </w:r>
          </w:p>
        </w:tc>
      </w:tr>
      <w:tr>
        <w:tblPrEx>
          <w:tblCellMar>
            <w:top w:w="0" w:type="dxa"/>
            <w:left w:w="57" w:type="dxa"/>
            <w:bottom w:w="0" w:type="dxa"/>
            <w:right w:w="57" w:type="dxa"/>
          </w:tblCellMar>
        </w:tblPrEx>
        <w:trPr>
          <w:trHeight w:val="816" w:hRule="atLeast"/>
          <w:jc w:val="center"/>
        </w:trPr>
        <w:tc>
          <w:tcPr>
            <w:tcW w:w="95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4</w:t>
            </w:r>
          </w:p>
        </w:tc>
        <w:tc>
          <w:tcPr>
            <w:tcW w:w="392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固定资产投资增长</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6%</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预期性</w:t>
            </w:r>
          </w:p>
        </w:tc>
      </w:tr>
      <w:tr>
        <w:tblPrEx>
          <w:tblCellMar>
            <w:top w:w="0" w:type="dxa"/>
            <w:left w:w="57" w:type="dxa"/>
            <w:bottom w:w="0" w:type="dxa"/>
            <w:right w:w="57" w:type="dxa"/>
          </w:tblCellMar>
        </w:tblPrEx>
        <w:trPr>
          <w:trHeight w:val="816" w:hRule="atLeast"/>
          <w:jc w:val="center"/>
        </w:trPr>
        <w:tc>
          <w:tcPr>
            <w:tcW w:w="95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5</w:t>
            </w:r>
          </w:p>
        </w:tc>
        <w:tc>
          <w:tcPr>
            <w:tcW w:w="392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社会消费品零售总额增长</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7%</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预期性</w:t>
            </w:r>
          </w:p>
        </w:tc>
      </w:tr>
      <w:tr>
        <w:tblPrEx>
          <w:tblCellMar>
            <w:top w:w="0" w:type="dxa"/>
            <w:left w:w="57" w:type="dxa"/>
            <w:bottom w:w="0" w:type="dxa"/>
            <w:right w:w="57" w:type="dxa"/>
          </w:tblCellMar>
        </w:tblPrEx>
        <w:trPr>
          <w:trHeight w:val="816" w:hRule="atLeast"/>
          <w:jc w:val="center"/>
        </w:trPr>
        <w:tc>
          <w:tcPr>
            <w:tcW w:w="95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6</w:t>
            </w:r>
          </w:p>
        </w:tc>
        <w:tc>
          <w:tcPr>
            <w:tcW w:w="392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进出口总额增长</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7%</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预期性</w:t>
            </w:r>
          </w:p>
        </w:tc>
      </w:tr>
      <w:tr>
        <w:tblPrEx>
          <w:tblCellMar>
            <w:top w:w="0" w:type="dxa"/>
            <w:left w:w="57" w:type="dxa"/>
            <w:bottom w:w="0" w:type="dxa"/>
            <w:right w:w="57" w:type="dxa"/>
          </w:tblCellMar>
        </w:tblPrEx>
        <w:trPr>
          <w:trHeight w:val="816" w:hRule="atLeast"/>
          <w:jc w:val="center"/>
        </w:trPr>
        <w:tc>
          <w:tcPr>
            <w:tcW w:w="95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7</w:t>
            </w:r>
          </w:p>
        </w:tc>
        <w:tc>
          <w:tcPr>
            <w:tcW w:w="392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城镇调查失业率</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5.5%以内</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约束性</w:t>
            </w:r>
          </w:p>
        </w:tc>
      </w:tr>
      <w:tr>
        <w:tblPrEx>
          <w:tblCellMar>
            <w:top w:w="0" w:type="dxa"/>
            <w:left w:w="57" w:type="dxa"/>
            <w:bottom w:w="0" w:type="dxa"/>
            <w:right w:w="57" w:type="dxa"/>
          </w:tblCellMar>
        </w:tblPrEx>
        <w:trPr>
          <w:trHeight w:val="816" w:hRule="atLeast"/>
          <w:jc w:val="center"/>
        </w:trPr>
        <w:tc>
          <w:tcPr>
            <w:tcW w:w="95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8</w:t>
            </w:r>
          </w:p>
        </w:tc>
        <w:tc>
          <w:tcPr>
            <w:tcW w:w="392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居民人均可支配收入增长</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高于经济增速</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预期性</w:t>
            </w:r>
          </w:p>
        </w:tc>
      </w:tr>
      <w:tr>
        <w:tblPrEx>
          <w:tblCellMar>
            <w:top w:w="0" w:type="dxa"/>
            <w:left w:w="57" w:type="dxa"/>
            <w:bottom w:w="0" w:type="dxa"/>
            <w:right w:w="57" w:type="dxa"/>
          </w:tblCellMar>
        </w:tblPrEx>
        <w:trPr>
          <w:trHeight w:val="816" w:hRule="atLeast"/>
          <w:jc w:val="center"/>
        </w:trPr>
        <w:tc>
          <w:tcPr>
            <w:tcW w:w="95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9</w:t>
            </w:r>
          </w:p>
        </w:tc>
        <w:tc>
          <w:tcPr>
            <w:tcW w:w="3921"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城镇新增就业</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完成省、市任务</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约束性</w:t>
            </w:r>
          </w:p>
        </w:tc>
      </w:tr>
      <w:tr>
        <w:tblPrEx>
          <w:tblCellMar>
            <w:top w:w="0" w:type="dxa"/>
            <w:left w:w="57" w:type="dxa"/>
            <w:bottom w:w="0" w:type="dxa"/>
            <w:right w:w="57" w:type="dxa"/>
          </w:tblCellMar>
        </w:tblPrEx>
        <w:trPr>
          <w:trHeight w:val="816" w:hRule="atLeast"/>
          <w:jc w:val="center"/>
        </w:trPr>
        <w:tc>
          <w:tcPr>
            <w:tcW w:w="95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10</w:t>
            </w:r>
          </w:p>
        </w:tc>
        <w:tc>
          <w:tcPr>
            <w:tcW w:w="392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粮食产量</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完成省、市任务</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约束性</w:t>
            </w:r>
          </w:p>
        </w:tc>
      </w:tr>
      <w:tr>
        <w:tblPrEx>
          <w:tblCellMar>
            <w:top w:w="0" w:type="dxa"/>
            <w:left w:w="57" w:type="dxa"/>
            <w:bottom w:w="0" w:type="dxa"/>
            <w:right w:w="57" w:type="dxa"/>
          </w:tblCellMar>
        </w:tblPrEx>
        <w:trPr>
          <w:trHeight w:val="816" w:hRule="atLeast"/>
          <w:jc w:val="center"/>
        </w:trPr>
        <w:tc>
          <w:tcPr>
            <w:tcW w:w="95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11</w:t>
            </w:r>
          </w:p>
        </w:tc>
        <w:tc>
          <w:tcPr>
            <w:tcW w:w="392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节能减排和碳排放强度</w:t>
            </w:r>
          </w:p>
        </w:tc>
        <w:tc>
          <w:tcPr>
            <w:tcW w:w="24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完成省、市任务</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jc w:val="center"/>
              <w:textAlignment w:val="center"/>
              <w:rPr>
                <w:rStyle w:val="18"/>
                <w:rFonts w:ascii="仿宋" w:hAnsi="仿宋" w:eastAsia="仿宋" w:cs="仿宋_GB2312"/>
                <w:snapToGrid w:val="0"/>
                <w:kern w:val="0"/>
                <w:sz w:val="30"/>
                <w:szCs w:val="30"/>
                <w:lang w:bidi="ar"/>
              </w:rPr>
            </w:pPr>
            <w:r>
              <w:rPr>
                <w:rStyle w:val="18"/>
                <w:rFonts w:hint="eastAsia" w:ascii="仿宋" w:hAnsi="仿宋" w:eastAsia="仿宋" w:cs="仿宋_GB2312"/>
                <w:snapToGrid w:val="0"/>
                <w:kern w:val="0"/>
                <w:sz w:val="30"/>
                <w:szCs w:val="30"/>
                <w:lang w:bidi="ar"/>
              </w:rPr>
              <w:t>约束性</w:t>
            </w:r>
          </w:p>
        </w:tc>
      </w:tr>
    </w:tbl>
    <w:p>
      <w:pPr>
        <w:pStyle w:val="2"/>
        <w:rPr>
          <w:rFonts w:ascii="方正小标宋简体" w:hAnsi="华文中宋" w:eastAsia="方正小标宋简体"/>
          <w:snapToGrid w:val="0"/>
          <w:color w:val="000000"/>
          <w:kern w:val="0"/>
          <w:sz w:val="40"/>
          <w:szCs w:val="40"/>
        </w:rPr>
      </w:pPr>
      <w:r>
        <w:br w:type="page"/>
      </w:r>
    </w:p>
    <w:p>
      <w:pPr>
        <w:adjustRightInd w:val="0"/>
        <w:snapToGrid w:val="0"/>
        <w:spacing w:after="343" w:afterLines="110" w:line="560" w:lineRule="exact"/>
        <w:jc w:val="center"/>
        <w:rPr>
          <w:rFonts w:ascii="方正小标宋简体" w:hAnsi="华文中宋" w:eastAsia="方正小标宋简体"/>
          <w:snapToGrid w:val="0"/>
          <w:color w:val="000000"/>
          <w:kern w:val="0"/>
          <w:sz w:val="40"/>
          <w:szCs w:val="40"/>
        </w:rPr>
      </w:pPr>
      <w:r>
        <w:rPr>
          <w:rFonts w:hint="eastAsia" w:ascii="方正小标宋简体" w:hAnsi="华文中宋" w:eastAsia="方正小标宋简体"/>
          <w:snapToGrid w:val="0"/>
          <w:color w:val="000000"/>
          <w:kern w:val="0"/>
          <w:sz w:val="40"/>
          <w:szCs w:val="40"/>
        </w:rPr>
        <w:t>名 词 解 释</w:t>
      </w:r>
    </w:p>
    <w:p>
      <w:pPr>
        <w:overflowPunct w:val="0"/>
        <w:adjustRightInd w:val="0"/>
        <w:snapToGrid w:val="0"/>
        <w:spacing w:line="600" w:lineRule="exact"/>
        <w:ind w:firstLine="640" w:firstLineChars="200"/>
        <w:rPr>
          <w:rFonts w:ascii="仿宋" w:hAnsi="仿宋" w:eastAsia="仿宋"/>
          <w:snapToGrid w:val="0"/>
          <w:color w:val="000000"/>
          <w:kern w:val="0"/>
          <w:sz w:val="32"/>
          <w:szCs w:val="32"/>
        </w:rPr>
      </w:pPr>
      <w:r>
        <w:rPr>
          <w:rFonts w:hint="eastAsia" w:ascii="楷体" w:hAnsi="楷体" w:eastAsia="楷体"/>
          <w:snapToGrid w:val="0"/>
          <w:color w:val="000000"/>
          <w:kern w:val="0"/>
          <w:sz w:val="32"/>
          <w:szCs w:val="32"/>
        </w:rPr>
        <w:t>1.三高四新：</w:t>
      </w:r>
      <w:r>
        <w:rPr>
          <w:rFonts w:hint="eastAsia" w:ascii="仿宋" w:hAnsi="仿宋" w:eastAsia="仿宋"/>
          <w:snapToGrid w:val="0"/>
          <w:color w:val="000000"/>
          <w:kern w:val="0"/>
          <w:sz w:val="32"/>
          <w:szCs w:val="32"/>
        </w:rPr>
        <w:t>即打造国家重要先进制造业高地、具有核心竞争力的科技创新高地、内陆地区改革开放的高地；在推动高质量发展上闯出新路子，在构建新发展格局中展现新作为，在推动中部地区崛起和长江经济带发展中彰显新担当，奋力谱写新时代坚持和发展中国特色社会主义的湖南新篇章。</w:t>
      </w:r>
    </w:p>
    <w:p>
      <w:pPr>
        <w:overflowPunct w:val="0"/>
        <w:adjustRightInd w:val="0"/>
        <w:snapToGrid w:val="0"/>
        <w:spacing w:line="600" w:lineRule="exact"/>
        <w:ind w:firstLine="640" w:firstLineChars="200"/>
        <w:rPr>
          <w:rFonts w:ascii="仿宋" w:hAnsi="仿宋" w:eastAsia="仿宋"/>
          <w:snapToGrid w:val="0"/>
          <w:color w:val="000000"/>
          <w:kern w:val="0"/>
          <w:sz w:val="32"/>
          <w:szCs w:val="32"/>
        </w:rPr>
      </w:pPr>
      <w:r>
        <w:rPr>
          <w:rFonts w:hint="eastAsia" w:ascii="楷体" w:hAnsi="楷体" w:eastAsia="楷体"/>
          <w:snapToGrid w:val="0"/>
          <w:color w:val="000000"/>
          <w:kern w:val="0"/>
          <w:sz w:val="32"/>
          <w:szCs w:val="32"/>
        </w:rPr>
        <w:t>2.发展六仗：</w:t>
      </w:r>
      <w:r>
        <w:rPr>
          <w:rFonts w:hint="eastAsia" w:ascii="仿宋" w:hAnsi="仿宋" w:eastAsia="仿宋"/>
          <w:snapToGrid w:val="0"/>
          <w:color w:val="000000"/>
          <w:kern w:val="0"/>
          <w:sz w:val="32"/>
          <w:szCs w:val="32"/>
        </w:rPr>
        <w:t>即经济增长主动仗、科技创新攻坚仗、优化发展环境持久仗、防范化解风险阻击仗、安全生产翻身仗、重点民生保障仗。</w:t>
      </w:r>
    </w:p>
    <w:p>
      <w:pPr>
        <w:overflowPunct w:val="0"/>
        <w:adjustRightInd w:val="0"/>
        <w:snapToGrid w:val="0"/>
        <w:spacing w:line="600" w:lineRule="exact"/>
        <w:ind w:firstLine="640" w:firstLineChars="200"/>
        <w:rPr>
          <w:rFonts w:ascii="仿宋" w:hAnsi="仿宋" w:eastAsia="仿宋"/>
          <w:snapToGrid w:val="0"/>
          <w:color w:val="000000"/>
          <w:kern w:val="0"/>
          <w:sz w:val="32"/>
          <w:szCs w:val="32"/>
        </w:rPr>
      </w:pPr>
      <w:r>
        <w:rPr>
          <w:rFonts w:hint="eastAsia" w:ascii="楷体" w:hAnsi="楷体" w:eastAsia="楷体"/>
          <w:snapToGrid w:val="0"/>
          <w:color w:val="000000"/>
          <w:kern w:val="0"/>
          <w:sz w:val="32"/>
          <w:szCs w:val="32"/>
        </w:rPr>
        <w:t>3.十张答卷：</w:t>
      </w:r>
      <w:r>
        <w:rPr>
          <w:rFonts w:hint="eastAsia" w:ascii="仿宋" w:hAnsi="仿宋" w:eastAsia="仿宋"/>
          <w:snapToGrid w:val="0"/>
          <w:color w:val="000000"/>
          <w:kern w:val="0"/>
          <w:sz w:val="32"/>
          <w:szCs w:val="32"/>
        </w:rPr>
        <w:t>即项目建设答卷、招商引资答卷、科技创新答卷、改革开放答卷、营商环境答卷、风险防范答卷、生态环保答卷、城乡品质答卷、共同富裕答卷、争先创优答卷。</w:t>
      </w:r>
    </w:p>
    <w:p>
      <w:pPr>
        <w:overflowPunct w:val="0"/>
        <w:adjustRightInd w:val="0"/>
        <w:snapToGrid w:val="0"/>
        <w:spacing w:line="600" w:lineRule="exact"/>
        <w:ind w:firstLine="640" w:firstLineChars="200"/>
        <w:rPr>
          <w:rFonts w:ascii="仿宋" w:hAnsi="仿宋" w:eastAsia="仿宋"/>
          <w:snapToGrid w:val="0"/>
          <w:color w:val="000000"/>
          <w:kern w:val="0"/>
          <w:sz w:val="32"/>
          <w:szCs w:val="32"/>
        </w:rPr>
      </w:pPr>
      <w:r>
        <w:rPr>
          <w:rFonts w:hint="eastAsia" w:ascii="楷体" w:hAnsi="楷体" w:eastAsia="楷体"/>
          <w:snapToGrid w:val="0"/>
          <w:color w:val="000000"/>
          <w:kern w:val="0"/>
          <w:sz w:val="32"/>
          <w:szCs w:val="32"/>
        </w:rPr>
        <w:t>4.四个年：</w:t>
      </w:r>
      <w:r>
        <w:rPr>
          <w:rFonts w:hint="eastAsia" w:ascii="仿宋" w:hAnsi="仿宋" w:eastAsia="仿宋"/>
          <w:snapToGrid w:val="0"/>
          <w:color w:val="000000"/>
          <w:kern w:val="0"/>
          <w:sz w:val="32"/>
          <w:szCs w:val="32"/>
        </w:rPr>
        <w:t>即项目建设提速年、招商引资提效年、营商环境提升年、城乡品质提档年。</w:t>
      </w:r>
    </w:p>
    <w:p>
      <w:pPr>
        <w:overflowPunct w:val="0"/>
        <w:adjustRightInd w:val="0"/>
        <w:snapToGrid w:val="0"/>
        <w:spacing w:line="600" w:lineRule="exact"/>
        <w:ind w:firstLine="640" w:firstLineChars="200"/>
        <w:rPr>
          <w:rFonts w:ascii="仿宋" w:hAnsi="仿宋" w:eastAsia="仿宋"/>
          <w:snapToGrid w:val="0"/>
          <w:color w:val="000000"/>
          <w:kern w:val="0"/>
          <w:sz w:val="32"/>
          <w:szCs w:val="32"/>
        </w:rPr>
      </w:pPr>
      <w:r>
        <w:rPr>
          <w:rFonts w:hint="eastAsia" w:ascii="楷体" w:hAnsi="楷体" w:eastAsia="楷体"/>
          <w:snapToGrid w:val="0"/>
          <w:color w:val="000000"/>
          <w:kern w:val="0"/>
          <w:sz w:val="32"/>
          <w:szCs w:val="32"/>
        </w:rPr>
        <w:t>5.四高：</w:t>
      </w:r>
      <w:r>
        <w:rPr>
          <w:rFonts w:hint="eastAsia" w:ascii="仿宋" w:hAnsi="仿宋" w:eastAsia="仿宋"/>
          <w:snapToGrid w:val="0"/>
          <w:color w:val="000000"/>
          <w:kern w:val="0"/>
          <w:sz w:val="32"/>
          <w:szCs w:val="32"/>
        </w:rPr>
        <w:t>即高标准、高技术、高产量、高品质。</w:t>
      </w:r>
    </w:p>
    <w:p>
      <w:pPr>
        <w:overflowPunct w:val="0"/>
        <w:adjustRightInd w:val="0"/>
        <w:snapToGrid w:val="0"/>
        <w:spacing w:line="600" w:lineRule="exact"/>
        <w:ind w:firstLine="640" w:firstLineChars="200"/>
        <w:rPr>
          <w:rFonts w:ascii="仿宋" w:hAnsi="仿宋" w:eastAsia="仿宋"/>
          <w:snapToGrid w:val="0"/>
          <w:color w:val="000000"/>
          <w:kern w:val="0"/>
          <w:sz w:val="32"/>
          <w:szCs w:val="32"/>
        </w:rPr>
      </w:pPr>
      <w:r>
        <w:rPr>
          <w:rFonts w:hint="eastAsia" w:ascii="楷体" w:hAnsi="楷体" w:eastAsia="楷体"/>
          <w:snapToGrid w:val="0"/>
          <w:color w:val="000000"/>
          <w:kern w:val="0"/>
          <w:sz w:val="32"/>
          <w:szCs w:val="32"/>
        </w:rPr>
        <w:t>6.“113+X”项制度试点：</w:t>
      </w:r>
      <w:r>
        <w:rPr>
          <w:rFonts w:hint="eastAsia" w:ascii="仿宋" w:hAnsi="仿宋" w:eastAsia="仿宋"/>
          <w:snapToGrid w:val="0"/>
          <w:color w:val="000000"/>
          <w:kern w:val="0"/>
          <w:sz w:val="32"/>
          <w:szCs w:val="32"/>
        </w:rPr>
        <w:t>“113”即《中国（湖南）自贸试验区长沙片区实施方案》在湖南省实施方案121项改革事项框架内新提出113条体现“长沙元素”的创新举措；“X”即经开片区、临空片区、会展片区探索自主创新试点事项。</w:t>
      </w:r>
    </w:p>
    <w:p>
      <w:pPr>
        <w:overflowPunct w:val="0"/>
        <w:adjustRightInd w:val="0"/>
        <w:snapToGrid w:val="0"/>
        <w:spacing w:line="600" w:lineRule="exact"/>
        <w:ind w:firstLine="640" w:firstLineChars="200"/>
        <w:rPr>
          <w:rFonts w:ascii="仿宋" w:hAnsi="仿宋" w:eastAsia="仿宋"/>
          <w:snapToGrid w:val="0"/>
          <w:color w:val="000000"/>
          <w:kern w:val="0"/>
          <w:sz w:val="32"/>
          <w:szCs w:val="32"/>
        </w:rPr>
      </w:pPr>
      <w:r>
        <w:rPr>
          <w:rFonts w:hint="eastAsia" w:ascii="楷体" w:hAnsi="楷体" w:eastAsia="楷体"/>
          <w:snapToGrid w:val="0"/>
          <w:color w:val="000000"/>
          <w:kern w:val="0"/>
          <w:sz w:val="32"/>
          <w:szCs w:val="32"/>
        </w:rPr>
        <w:t>7.专精特新：</w:t>
      </w:r>
      <w:r>
        <w:rPr>
          <w:rFonts w:hint="eastAsia" w:ascii="仿宋" w:hAnsi="仿宋" w:eastAsia="仿宋"/>
          <w:snapToGrid w:val="0"/>
          <w:color w:val="000000"/>
          <w:kern w:val="0"/>
          <w:sz w:val="32"/>
          <w:szCs w:val="32"/>
        </w:rPr>
        <w:t>即中小企业具备专业化、精细化、特色化、新颖化的特征。</w:t>
      </w:r>
    </w:p>
    <w:p>
      <w:pPr>
        <w:overflowPunct w:val="0"/>
        <w:adjustRightInd w:val="0"/>
        <w:snapToGrid w:val="0"/>
        <w:spacing w:line="600" w:lineRule="exact"/>
        <w:ind w:firstLine="648" w:firstLineChars="200"/>
        <w:rPr>
          <w:rFonts w:ascii="仿宋" w:hAnsi="仿宋" w:eastAsia="仿宋"/>
          <w:snapToGrid w:val="0"/>
          <w:color w:val="000000"/>
          <w:kern w:val="0"/>
          <w:sz w:val="32"/>
          <w:szCs w:val="32"/>
        </w:rPr>
      </w:pPr>
      <w:r>
        <w:rPr>
          <w:rFonts w:hint="eastAsia" w:ascii="楷体" w:hAnsi="楷体" w:eastAsia="楷体"/>
          <w:snapToGrid w:val="0"/>
          <w:color w:val="000000"/>
          <w:spacing w:val="2"/>
          <w:kern w:val="0"/>
          <w:sz w:val="32"/>
          <w:szCs w:val="32"/>
        </w:rPr>
        <w:t>8.RCEP：</w:t>
      </w:r>
      <w:r>
        <w:rPr>
          <w:rFonts w:hint="eastAsia" w:ascii="仿宋" w:hAnsi="仿宋" w:eastAsia="仿宋"/>
          <w:snapToGrid w:val="0"/>
          <w:color w:val="000000"/>
          <w:kern w:val="0"/>
          <w:sz w:val="32"/>
          <w:szCs w:val="32"/>
        </w:rPr>
        <w:t>即区域全面经济伙伴关系协定（Regional Comprehensive Economic Partnership），由东盟十国发起，邀</w:t>
      </w:r>
      <w:r>
        <w:rPr>
          <w:rFonts w:hint="eastAsia" w:ascii="仿宋" w:hAnsi="仿宋" w:eastAsia="仿宋"/>
          <w:snapToGrid w:val="0"/>
          <w:color w:val="000000"/>
          <w:spacing w:val="-4"/>
          <w:kern w:val="0"/>
          <w:sz w:val="32"/>
          <w:szCs w:val="32"/>
        </w:rPr>
        <w:t>请中国、日本、韩国、澳大利亚、新西兰共同参与(“10+5”)，通</w:t>
      </w:r>
      <w:r>
        <w:rPr>
          <w:rFonts w:hint="eastAsia" w:ascii="仿宋" w:hAnsi="仿宋" w:eastAsia="仿宋"/>
          <w:snapToGrid w:val="0"/>
          <w:color w:val="000000"/>
          <w:kern w:val="0"/>
          <w:sz w:val="32"/>
          <w:szCs w:val="32"/>
        </w:rPr>
        <w:t>过削减关税及非关税壁垒，建立15国统一市场的自由贸易协定。</w:t>
      </w:r>
    </w:p>
    <w:p>
      <w:pPr>
        <w:overflowPunct w:val="0"/>
        <w:adjustRightInd w:val="0"/>
        <w:snapToGrid w:val="0"/>
        <w:spacing w:line="600" w:lineRule="exact"/>
        <w:ind w:firstLine="640" w:firstLineChars="200"/>
        <w:rPr>
          <w:rFonts w:ascii="仿宋" w:hAnsi="仿宋" w:eastAsia="仿宋"/>
          <w:snapToGrid w:val="0"/>
          <w:color w:val="000000"/>
          <w:kern w:val="0"/>
          <w:sz w:val="32"/>
          <w:szCs w:val="32"/>
        </w:rPr>
      </w:pPr>
      <w:r>
        <w:rPr>
          <w:rFonts w:hint="eastAsia" w:ascii="楷体" w:hAnsi="楷体" w:eastAsia="楷体"/>
          <w:snapToGrid w:val="0"/>
          <w:color w:val="000000"/>
          <w:kern w:val="0"/>
          <w:sz w:val="32"/>
          <w:szCs w:val="32"/>
        </w:rPr>
        <w:t>9.三类500强：</w:t>
      </w:r>
      <w:r>
        <w:rPr>
          <w:rFonts w:hint="eastAsia" w:ascii="仿宋" w:hAnsi="仿宋" w:eastAsia="仿宋"/>
          <w:snapToGrid w:val="0"/>
          <w:color w:val="000000"/>
          <w:kern w:val="0"/>
          <w:sz w:val="32"/>
          <w:szCs w:val="32"/>
        </w:rPr>
        <w:t>即世界财富500强、中国企业500强和民营企业500强。</w:t>
      </w:r>
    </w:p>
    <w:p>
      <w:pPr>
        <w:overflowPunct w:val="0"/>
        <w:adjustRightInd w:val="0"/>
        <w:snapToGrid w:val="0"/>
        <w:spacing w:line="600" w:lineRule="exact"/>
        <w:ind w:firstLine="640" w:firstLineChars="200"/>
        <w:rPr>
          <w:rFonts w:ascii="仿宋" w:hAnsi="仿宋" w:eastAsia="仿宋"/>
          <w:snapToGrid w:val="0"/>
          <w:color w:val="000000"/>
          <w:kern w:val="0"/>
          <w:sz w:val="32"/>
          <w:szCs w:val="32"/>
        </w:rPr>
      </w:pPr>
      <w:r>
        <w:rPr>
          <w:rFonts w:hint="eastAsia" w:ascii="楷体" w:hAnsi="楷体" w:eastAsia="楷体"/>
          <w:snapToGrid w:val="0"/>
          <w:color w:val="000000"/>
          <w:kern w:val="0"/>
          <w:sz w:val="32"/>
          <w:szCs w:val="32"/>
        </w:rPr>
        <w:t>10.“四零”目标：</w:t>
      </w:r>
      <w:r>
        <w:rPr>
          <w:rFonts w:hint="eastAsia" w:ascii="仿宋" w:hAnsi="仿宋" w:eastAsia="仿宋"/>
          <w:snapToGrid w:val="0"/>
          <w:color w:val="000000"/>
          <w:kern w:val="0"/>
          <w:sz w:val="32"/>
          <w:szCs w:val="32"/>
        </w:rPr>
        <w:t>即人员零伤亡、财产零损失、较大火灾零发生、卫星热点零出现。</w:t>
      </w:r>
    </w:p>
    <w:p>
      <w:pPr>
        <w:overflowPunct w:val="0"/>
        <w:adjustRightInd w:val="0"/>
        <w:snapToGrid w:val="0"/>
        <w:spacing w:line="600" w:lineRule="exact"/>
        <w:ind w:firstLine="640" w:firstLineChars="200"/>
        <w:rPr>
          <w:rFonts w:ascii="仿宋" w:hAnsi="仿宋" w:eastAsia="仿宋"/>
          <w:snapToGrid w:val="0"/>
          <w:color w:val="000000"/>
          <w:kern w:val="0"/>
          <w:sz w:val="32"/>
          <w:szCs w:val="32"/>
        </w:rPr>
      </w:pPr>
      <w:r>
        <w:rPr>
          <w:rFonts w:hint="eastAsia" w:ascii="楷体" w:hAnsi="楷体" w:eastAsia="楷体"/>
          <w:snapToGrid w:val="0"/>
          <w:color w:val="000000"/>
          <w:kern w:val="0"/>
          <w:sz w:val="32"/>
          <w:szCs w:val="32"/>
        </w:rPr>
        <w:t>11.八个“走在前、作示范”：</w:t>
      </w:r>
      <w:r>
        <w:rPr>
          <w:rFonts w:hint="eastAsia" w:ascii="仿宋" w:hAnsi="仿宋" w:eastAsia="仿宋"/>
          <w:snapToGrid w:val="0"/>
          <w:color w:val="000000"/>
          <w:kern w:val="0"/>
          <w:sz w:val="32"/>
          <w:szCs w:val="32"/>
        </w:rPr>
        <w:t>即要在提高政治判断力、政治领悟力、政治执行力上走在前、作示范，要在构建现代化产业体系上走在前、作示范，要在推进高水平科技自立自强上走在前、作示范，要在全面深化改革开放上走在前、作示范，要在推进长株潭一体化和促进区域协调发展上走在前、作示范，要在建设宜居幸福城市上走在前、作示范，要在防范化解重大风险、筑牢安全发展底线上走在前、作示范，要在加强党的建设、推进全面从严治党上走在前、作示范。</w:t>
      </w:r>
    </w:p>
    <w:p>
      <w:pPr>
        <w:overflowPunct w:val="0"/>
        <w:adjustRightInd w:val="0"/>
        <w:snapToGrid w:val="0"/>
        <w:spacing w:line="600" w:lineRule="exact"/>
        <w:ind w:firstLine="640" w:firstLineChars="200"/>
        <w:rPr>
          <w:rFonts w:ascii="仿宋" w:hAnsi="仿宋" w:eastAsia="仿宋"/>
          <w:snapToGrid w:val="0"/>
          <w:color w:val="000000"/>
          <w:kern w:val="0"/>
          <w:sz w:val="32"/>
          <w:szCs w:val="32"/>
        </w:rPr>
      </w:pPr>
      <w:r>
        <w:rPr>
          <w:rFonts w:hint="eastAsia" w:ascii="楷体" w:hAnsi="楷体" w:eastAsia="楷体"/>
          <w:snapToGrid w:val="0"/>
          <w:color w:val="000000"/>
          <w:kern w:val="0"/>
          <w:sz w:val="32"/>
          <w:szCs w:val="32"/>
        </w:rPr>
        <w:t>12.七个坚定不移：</w:t>
      </w:r>
      <w:r>
        <w:rPr>
          <w:rFonts w:hint="eastAsia" w:ascii="仿宋" w:hAnsi="仿宋" w:eastAsia="仿宋"/>
          <w:snapToGrid w:val="0"/>
          <w:color w:val="000000"/>
          <w:kern w:val="0"/>
          <w:sz w:val="32"/>
          <w:szCs w:val="32"/>
        </w:rPr>
        <w:t>即坚定不移强化省会城市的担当作为，坚定不移建设以先进制造业为重点的现代化产业体系，坚定不移打造全球研发中心城市，坚定不移推进全面深化改革和扩大高水平对外开放，坚定不移建设高品质幸福宜居城市，坚定不移守好安全发展底线，坚定不移推进全面从严治党。</w:t>
      </w:r>
    </w:p>
    <w:p>
      <w:pPr>
        <w:overflowPunct w:val="0"/>
        <w:adjustRightInd w:val="0"/>
        <w:snapToGrid w:val="0"/>
        <w:spacing w:line="600" w:lineRule="exact"/>
        <w:ind w:firstLine="640" w:firstLineChars="200"/>
        <w:rPr>
          <w:rFonts w:ascii="仿宋" w:hAnsi="仿宋" w:eastAsia="仿宋"/>
          <w:snapToGrid w:val="0"/>
          <w:color w:val="000000"/>
          <w:kern w:val="0"/>
          <w:sz w:val="32"/>
          <w:szCs w:val="32"/>
        </w:rPr>
      </w:pPr>
      <w:r>
        <w:rPr>
          <w:rFonts w:hint="eastAsia" w:ascii="楷体" w:hAnsi="楷体" w:eastAsia="楷体"/>
          <w:snapToGrid w:val="0"/>
          <w:color w:val="000000"/>
          <w:kern w:val="0"/>
          <w:sz w:val="32"/>
          <w:szCs w:val="32"/>
        </w:rPr>
        <w:t>13.“1345”发展思路：</w:t>
      </w:r>
      <w:r>
        <w:rPr>
          <w:rFonts w:hint="eastAsia" w:ascii="仿宋" w:hAnsi="仿宋" w:eastAsia="仿宋"/>
          <w:snapToGrid w:val="0"/>
          <w:color w:val="000000"/>
          <w:kern w:val="0"/>
          <w:sz w:val="32"/>
          <w:szCs w:val="32"/>
        </w:rPr>
        <w:t>“1”即要持续吹响“三十而立再出发，二次创业攀新高”这一战略号角，始终聚焦“率先建设共同富裕先行区”这一战略愿景，紧紧围绕率先打造“三个高地”、全面建设中国式现代化先行区这一战略目标；“3”即要坚决落实“牢记嘱托，创新实干，勇攀高峰”三大战略要求，始终坚持“不断拓展新空间、发展新产业、争创新优势”三条战略路径；“4”即要坚定不移推进市委赋予的打造“四区”战略任务，坚持不懈强力推进“四个年”行动战略抓手；“5”即要筑牢“产业高质量发展、城乡高品质建设、开放高层次推进、社会高效能治理、民生高水平保障”五大战略支撑。</w:t>
      </w:r>
    </w:p>
    <w:p>
      <w:pPr>
        <w:overflowPunct w:val="0"/>
        <w:adjustRightInd w:val="0"/>
        <w:snapToGrid w:val="0"/>
        <w:spacing w:line="600" w:lineRule="exact"/>
        <w:ind w:firstLine="640" w:firstLineChars="200"/>
        <w:rPr>
          <w:rFonts w:ascii="仿宋" w:hAnsi="仿宋" w:eastAsia="仿宋"/>
          <w:snapToGrid w:val="0"/>
          <w:color w:val="000000"/>
          <w:kern w:val="0"/>
          <w:sz w:val="32"/>
          <w:szCs w:val="32"/>
        </w:rPr>
      </w:pPr>
      <w:r>
        <w:rPr>
          <w:rFonts w:hint="eastAsia" w:ascii="楷体" w:hAnsi="楷体" w:eastAsia="楷体"/>
          <w:snapToGrid w:val="0"/>
          <w:color w:val="000000"/>
          <w:kern w:val="0"/>
          <w:sz w:val="32"/>
          <w:szCs w:val="32"/>
        </w:rPr>
        <w:t>14.八大行动：</w:t>
      </w:r>
      <w:r>
        <w:rPr>
          <w:rFonts w:hint="eastAsia" w:ascii="仿宋" w:hAnsi="仿宋" w:eastAsia="仿宋"/>
          <w:snapToGrid w:val="0"/>
          <w:color w:val="000000"/>
          <w:kern w:val="0"/>
          <w:sz w:val="32"/>
          <w:szCs w:val="32"/>
        </w:rPr>
        <w:t>即实施产业培塑行动，加快构建现代化产业体系；实施创新提升行动，加快打造五大标志性工程；实施激发需求行动，持续增强经济发展动能；实施改革攻坚行动，持续推动重点领域改革；实施主体强身行动，持续增强市场发展活力；实施区域共进行动，持续优化生产力布局；实施安全守底行动，持续保持社会和谐稳定；实施民生可感行动，持续增强人民群众获得感幸福感安全感。</w:t>
      </w:r>
    </w:p>
    <w:p>
      <w:pPr>
        <w:overflowPunct w:val="0"/>
        <w:adjustRightInd w:val="0"/>
        <w:snapToGrid w:val="0"/>
        <w:spacing w:line="600" w:lineRule="exact"/>
        <w:ind w:firstLine="640" w:firstLineChars="200"/>
        <w:rPr>
          <w:rFonts w:ascii="仿宋" w:hAnsi="仿宋" w:eastAsia="仿宋"/>
          <w:snapToGrid w:val="0"/>
          <w:color w:val="000000"/>
          <w:kern w:val="0"/>
          <w:sz w:val="32"/>
          <w:szCs w:val="32"/>
        </w:rPr>
      </w:pPr>
      <w:r>
        <w:rPr>
          <w:rFonts w:hint="eastAsia" w:ascii="楷体" w:hAnsi="楷体" w:eastAsia="楷体"/>
          <w:snapToGrid w:val="0"/>
          <w:color w:val="000000"/>
          <w:kern w:val="0"/>
          <w:sz w:val="32"/>
          <w:szCs w:val="32"/>
        </w:rPr>
        <w:t>15.3+3+N：</w:t>
      </w:r>
      <w:r>
        <w:rPr>
          <w:rFonts w:hint="eastAsia" w:ascii="仿宋" w:hAnsi="仿宋" w:eastAsia="仿宋"/>
          <w:snapToGrid w:val="0"/>
          <w:color w:val="000000"/>
          <w:kern w:val="0"/>
          <w:sz w:val="32"/>
          <w:szCs w:val="32"/>
        </w:rPr>
        <w:t>即“3”指工程机械、汽车及零部件、新一代信息技术三大千亿级传统产业，“3”指临空制造（民用无人机）、生物技术和生命健康、高端现代服务业三大千亿级新兴产业，“N”指这六大产业细分领域行业。</w:t>
      </w:r>
    </w:p>
    <w:p>
      <w:pPr>
        <w:overflowPunct w:val="0"/>
        <w:adjustRightInd w:val="0"/>
        <w:snapToGrid w:val="0"/>
        <w:spacing w:line="600" w:lineRule="exact"/>
        <w:ind w:firstLine="640" w:firstLineChars="200"/>
        <w:rPr>
          <w:rFonts w:ascii="仿宋" w:hAnsi="仿宋" w:eastAsia="仿宋"/>
          <w:snapToGrid w:val="0"/>
          <w:color w:val="000000"/>
          <w:kern w:val="0"/>
          <w:sz w:val="32"/>
          <w:szCs w:val="32"/>
        </w:rPr>
      </w:pPr>
      <w:r>
        <w:rPr>
          <w:rFonts w:hint="eastAsia" w:ascii="楷体" w:hAnsi="楷体" w:eastAsia="楷体"/>
          <w:snapToGrid w:val="0"/>
          <w:color w:val="000000"/>
          <w:kern w:val="0"/>
          <w:sz w:val="32"/>
          <w:szCs w:val="32"/>
        </w:rPr>
        <w:t>16.两清单两增量：</w:t>
      </w:r>
      <w:r>
        <w:rPr>
          <w:rFonts w:hint="eastAsia" w:ascii="仿宋" w:hAnsi="仿宋" w:eastAsia="仿宋"/>
          <w:snapToGrid w:val="0"/>
          <w:color w:val="000000"/>
          <w:kern w:val="0"/>
          <w:sz w:val="32"/>
          <w:szCs w:val="32"/>
        </w:rPr>
        <w:t>即在建、投产项目清单和对接、扩能项目清单，产值税收增量和规工、专精特新企业增量。</w:t>
      </w:r>
    </w:p>
    <w:p>
      <w:pPr>
        <w:overflowPunct w:val="0"/>
        <w:adjustRightInd w:val="0"/>
        <w:snapToGrid w:val="0"/>
        <w:spacing w:line="600" w:lineRule="exact"/>
        <w:ind w:firstLine="640" w:firstLineChars="200"/>
        <w:rPr>
          <w:rFonts w:ascii="仿宋" w:hAnsi="仿宋" w:eastAsia="仿宋"/>
          <w:snapToGrid w:val="0"/>
          <w:color w:val="000000"/>
          <w:kern w:val="0"/>
          <w:sz w:val="32"/>
          <w:szCs w:val="32"/>
        </w:rPr>
      </w:pPr>
      <w:r>
        <w:rPr>
          <w:rFonts w:hint="eastAsia" w:ascii="楷体" w:hAnsi="楷体" w:eastAsia="楷体"/>
          <w:snapToGrid w:val="0"/>
          <w:color w:val="000000"/>
          <w:kern w:val="0"/>
          <w:sz w:val="32"/>
          <w:szCs w:val="32"/>
        </w:rPr>
        <w:t>17.智赋万企：</w:t>
      </w:r>
      <w:r>
        <w:rPr>
          <w:rFonts w:hint="eastAsia" w:ascii="仿宋" w:hAnsi="仿宋" w:eastAsia="仿宋"/>
          <w:snapToGrid w:val="0"/>
          <w:color w:val="000000"/>
          <w:kern w:val="0"/>
          <w:sz w:val="32"/>
          <w:szCs w:val="32"/>
        </w:rPr>
        <w:t>即推动以人工智能为代表的新一代信息技术赋能千行百业数字化转型，构建数据驱动、人机协同、跨界融合、共创分享的智能经济形态。</w:t>
      </w:r>
    </w:p>
    <w:p>
      <w:pPr>
        <w:overflowPunct w:val="0"/>
        <w:adjustRightInd w:val="0"/>
        <w:snapToGrid w:val="0"/>
        <w:spacing w:line="600" w:lineRule="exact"/>
        <w:ind w:firstLine="640" w:firstLineChars="200"/>
        <w:rPr>
          <w:rFonts w:ascii="仿宋" w:hAnsi="仿宋" w:eastAsia="仿宋"/>
          <w:snapToGrid w:val="0"/>
          <w:color w:val="000000"/>
          <w:kern w:val="0"/>
          <w:sz w:val="32"/>
          <w:szCs w:val="32"/>
        </w:rPr>
      </w:pPr>
      <w:r>
        <w:rPr>
          <w:rFonts w:hint="eastAsia" w:ascii="楷体" w:hAnsi="楷体" w:eastAsia="楷体"/>
          <w:snapToGrid w:val="0"/>
          <w:color w:val="000000"/>
          <w:kern w:val="0"/>
          <w:sz w:val="32"/>
          <w:szCs w:val="32"/>
        </w:rPr>
        <w:t>18.“4710”创新跃升行动：</w:t>
      </w:r>
      <w:r>
        <w:rPr>
          <w:rFonts w:hint="eastAsia" w:ascii="仿宋" w:hAnsi="仿宋" w:eastAsia="仿宋"/>
          <w:snapToGrid w:val="0"/>
          <w:color w:val="000000"/>
          <w:kern w:val="0"/>
          <w:sz w:val="32"/>
          <w:szCs w:val="32"/>
        </w:rPr>
        <w:t>“4”是指打造松雅湖未来科技城、三一科技城、国际会展“科创湾”、黄花保税研发基地四大战略平台，“7”是指实施高能级创新平台体系建设、高质量创新主体培育、高精尖产业体系育成、高层次创新人才引培、高效率科技成果转化、高标准创新生态优化、高水平开放创新融入等七大工程，“10”是重点抓好源品再生医学产业园二期等十大科技创新标志性项目。</w:t>
      </w:r>
    </w:p>
    <w:p>
      <w:pPr>
        <w:overflowPunct w:val="0"/>
        <w:adjustRightInd w:val="0"/>
        <w:snapToGrid w:val="0"/>
        <w:spacing w:line="600" w:lineRule="exact"/>
        <w:ind w:firstLine="640" w:firstLineChars="200"/>
        <w:rPr>
          <w:rFonts w:ascii="仿宋" w:hAnsi="仿宋" w:eastAsia="仿宋"/>
          <w:snapToGrid w:val="0"/>
          <w:color w:val="000000"/>
          <w:kern w:val="0"/>
          <w:sz w:val="32"/>
          <w:szCs w:val="32"/>
        </w:rPr>
      </w:pPr>
      <w:r>
        <w:rPr>
          <w:rFonts w:hint="eastAsia" w:ascii="楷体" w:hAnsi="楷体" w:eastAsia="楷体"/>
          <w:snapToGrid w:val="0"/>
          <w:color w:val="000000"/>
          <w:kern w:val="0"/>
          <w:sz w:val="32"/>
          <w:szCs w:val="32"/>
        </w:rPr>
        <w:t>19.两城一湾一基地：</w:t>
      </w:r>
      <w:r>
        <w:rPr>
          <w:rFonts w:hint="eastAsia" w:ascii="仿宋" w:hAnsi="仿宋" w:eastAsia="仿宋"/>
          <w:snapToGrid w:val="0"/>
          <w:color w:val="000000"/>
          <w:kern w:val="0"/>
          <w:sz w:val="32"/>
          <w:szCs w:val="32"/>
        </w:rPr>
        <w:t>即松雅湖未来科技城、三一科技城、国际会展“科创湾”、黄花保税研发基地。</w:t>
      </w:r>
    </w:p>
    <w:p>
      <w:pPr>
        <w:overflowPunct w:val="0"/>
        <w:adjustRightInd w:val="0"/>
        <w:snapToGrid w:val="0"/>
        <w:spacing w:line="600" w:lineRule="exact"/>
        <w:ind w:firstLine="640" w:firstLineChars="200"/>
        <w:rPr>
          <w:rFonts w:ascii="仿宋" w:hAnsi="仿宋" w:eastAsia="仿宋"/>
          <w:snapToGrid w:val="0"/>
          <w:color w:val="000000"/>
          <w:kern w:val="0"/>
          <w:sz w:val="32"/>
          <w:szCs w:val="32"/>
        </w:rPr>
      </w:pPr>
      <w:r>
        <w:rPr>
          <w:rFonts w:hint="eastAsia" w:ascii="楷体" w:hAnsi="楷体" w:eastAsia="楷体"/>
          <w:snapToGrid w:val="0"/>
          <w:color w:val="000000"/>
          <w:kern w:val="0"/>
          <w:sz w:val="32"/>
          <w:szCs w:val="32"/>
        </w:rPr>
        <w:t>20.新质生产力：</w:t>
      </w:r>
      <w:r>
        <w:rPr>
          <w:rFonts w:hint="eastAsia" w:ascii="仿宋" w:hAnsi="仿宋" w:eastAsia="仿宋"/>
          <w:snapToGrid w:val="0"/>
          <w:color w:val="000000"/>
          <w:kern w:val="0"/>
          <w:sz w:val="32"/>
          <w:szCs w:val="32"/>
        </w:rPr>
        <w:t>是2023年9月</w:t>
      </w:r>
      <w:r>
        <w:fldChar w:fldCharType="begin"/>
      </w:r>
      <w:r>
        <w:instrText xml:space="preserve"> HYPERLINK "https://baike.baidu.com/item/%E4%B9%A0%E8%BF%91%E5%B9%B3/515617?fromModule=lemma_inlink" \t "https://baike.baidu.com/item/%E6%96%B0%E8%B4%A8%E7%94%9F%E4%BA%A7%E5%8A%9B/_blank" </w:instrText>
      </w:r>
      <w:r>
        <w:fldChar w:fldCharType="separate"/>
      </w:r>
      <w:r>
        <w:rPr>
          <w:rFonts w:hint="eastAsia" w:ascii="仿宋" w:hAnsi="仿宋" w:eastAsia="仿宋"/>
          <w:snapToGrid w:val="0"/>
          <w:color w:val="000000"/>
          <w:kern w:val="0"/>
          <w:sz w:val="32"/>
          <w:szCs w:val="32"/>
        </w:rPr>
        <w:t>习近平</w:t>
      </w:r>
      <w:r>
        <w:rPr>
          <w:rFonts w:hint="eastAsia" w:ascii="仿宋" w:hAnsi="仿宋" w:eastAsia="仿宋"/>
          <w:snapToGrid w:val="0"/>
          <w:color w:val="000000"/>
          <w:kern w:val="0"/>
          <w:sz w:val="32"/>
          <w:szCs w:val="32"/>
        </w:rPr>
        <w:fldChar w:fldCharType="end"/>
      </w:r>
      <w:r>
        <w:rPr>
          <w:rFonts w:hint="eastAsia" w:ascii="仿宋" w:hAnsi="仿宋" w:eastAsia="仿宋"/>
          <w:snapToGrid w:val="0"/>
          <w:color w:val="000000"/>
          <w:kern w:val="0"/>
          <w:sz w:val="32"/>
          <w:szCs w:val="32"/>
        </w:rPr>
        <w:t>总书记在</w:t>
      </w:r>
      <w:r>
        <w:fldChar w:fldCharType="begin"/>
      </w:r>
      <w:r>
        <w:instrText xml:space="preserve"> HYPERLINK "https://baike.baidu.com/item/%E9%BB%91%E9%BE%99%E6%B1%9F/7351?fromModule=lemma_inlink" \t "https://baike.baidu.com/item/%E6%96%B0%E8%B4%A8%E7%94%9F%E4%BA%A7%E5%8A%9B/_blank" </w:instrText>
      </w:r>
      <w:r>
        <w:fldChar w:fldCharType="separate"/>
      </w:r>
      <w:r>
        <w:rPr>
          <w:rFonts w:hint="eastAsia" w:ascii="仿宋" w:hAnsi="仿宋" w:eastAsia="仿宋"/>
          <w:snapToGrid w:val="0"/>
          <w:color w:val="000000"/>
          <w:kern w:val="0"/>
          <w:sz w:val="32"/>
          <w:szCs w:val="32"/>
        </w:rPr>
        <w:t>黑龙江</w:t>
      </w:r>
      <w:r>
        <w:rPr>
          <w:rFonts w:hint="eastAsia" w:ascii="仿宋" w:hAnsi="仿宋" w:eastAsia="仿宋"/>
          <w:snapToGrid w:val="0"/>
          <w:color w:val="000000"/>
          <w:kern w:val="0"/>
          <w:sz w:val="32"/>
          <w:szCs w:val="32"/>
        </w:rPr>
        <w:fldChar w:fldCharType="end"/>
      </w:r>
      <w:r>
        <w:rPr>
          <w:rFonts w:hint="eastAsia" w:ascii="仿宋" w:hAnsi="仿宋" w:eastAsia="仿宋"/>
          <w:snapToGrid w:val="0"/>
          <w:color w:val="000000"/>
          <w:kern w:val="0"/>
          <w:sz w:val="32"/>
          <w:szCs w:val="32"/>
        </w:rPr>
        <w:t>考察调研期间首次提到的新的词汇，强调整合</w:t>
      </w:r>
      <w:r>
        <w:fldChar w:fldCharType="begin"/>
      </w:r>
      <w:r>
        <w:instrText xml:space="preserve"> HYPERLINK "https://baike.baidu.com/item/%E7%A7%91%E6%8A%80%E5%88%9B%E6%96%B0/1448199?fromModule=lemma_inlink" \t "https://baike.baidu.com/item/%E6%96%B0%E8%B4%A8%E7%94%9F%E4%BA%A7%E5%8A%9B/_blank" </w:instrText>
      </w:r>
      <w:r>
        <w:fldChar w:fldCharType="separate"/>
      </w:r>
      <w:r>
        <w:rPr>
          <w:rFonts w:hint="eastAsia" w:ascii="仿宋" w:hAnsi="仿宋" w:eastAsia="仿宋"/>
          <w:snapToGrid w:val="0"/>
          <w:color w:val="000000"/>
          <w:kern w:val="0"/>
          <w:sz w:val="32"/>
          <w:szCs w:val="32"/>
        </w:rPr>
        <w:t>科技创新</w:t>
      </w:r>
      <w:r>
        <w:rPr>
          <w:rFonts w:hint="eastAsia" w:ascii="仿宋" w:hAnsi="仿宋" w:eastAsia="仿宋"/>
          <w:snapToGrid w:val="0"/>
          <w:color w:val="000000"/>
          <w:kern w:val="0"/>
          <w:sz w:val="32"/>
          <w:szCs w:val="32"/>
        </w:rPr>
        <w:fldChar w:fldCharType="end"/>
      </w:r>
      <w:r>
        <w:rPr>
          <w:rFonts w:hint="eastAsia" w:ascii="仿宋" w:hAnsi="仿宋" w:eastAsia="仿宋"/>
          <w:snapToGrid w:val="0"/>
          <w:color w:val="000000"/>
          <w:kern w:val="0"/>
          <w:sz w:val="32"/>
          <w:szCs w:val="32"/>
        </w:rPr>
        <w:t>资源，引领发展战略性</w:t>
      </w:r>
      <w:r>
        <w:fldChar w:fldCharType="begin"/>
      </w:r>
      <w:r>
        <w:instrText xml:space="preserve"> HYPERLINK "https://baike.baidu.com/item/%E6%96%B0%E5%85%B4%E4%BA%A7%E4%B8%9A/10813951?fromModule=lemma_inlink" \t "https://baike.baidu.com/item/%E6%96%B0%E8%B4%A8%E7%94%9F%E4%BA%A7%E5%8A%9B/_blank" </w:instrText>
      </w:r>
      <w:r>
        <w:fldChar w:fldCharType="separate"/>
      </w:r>
      <w:r>
        <w:rPr>
          <w:rFonts w:hint="eastAsia" w:ascii="仿宋" w:hAnsi="仿宋" w:eastAsia="仿宋"/>
          <w:snapToGrid w:val="0"/>
          <w:color w:val="000000"/>
          <w:kern w:val="0"/>
          <w:sz w:val="32"/>
          <w:szCs w:val="32"/>
        </w:rPr>
        <w:t>新兴产业</w:t>
      </w:r>
      <w:r>
        <w:rPr>
          <w:rFonts w:hint="eastAsia" w:ascii="仿宋" w:hAnsi="仿宋" w:eastAsia="仿宋"/>
          <w:snapToGrid w:val="0"/>
          <w:color w:val="000000"/>
          <w:kern w:val="0"/>
          <w:sz w:val="32"/>
          <w:szCs w:val="32"/>
        </w:rPr>
        <w:fldChar w:fldCharType="end"/>
      </w:r>
      <w:r>
        <w:rPr>
          <w:rFonts w:hint="eastAsia" w:ascii="仿宋" w:hAnsi="仿宋" w:eastAsia="仿宋"/>
          <w:snapToGrid w:val="0"/>
          <w:color w:val="000000"/>
          <w:kern w:val="0"/>
          <w:sz w:val="32"/>
          <w:szCs w:val="32"/>
        </w:rPr>
        <w:t>和</w:t>
      </w:r>
      <w:r>
        <w:fldChar w:fldCharType="begin"/>
      </w:r>
      <w:r>
        <w:instrText xml:space="preserve"> HYPERLINK "https://baike.baidu.com/item/%E6%9C%AA%E6%9D%A5%E4%BA%A7%E4%B8%9A/20380119?fromModule=lemma_inlink" \t "https://baike.baidu.com/item/%E6%96%B0%E8%B4%A8%E7%94%9F%E4%BA%A7%E5%8A%9B/_blank" </w:instrText>
      </w:r>
      <w:r>
        <w:fldChar w:fldCharType="separate"/>
      </w:r>
      <w:r>
        <w:rPr>
          <w:rFonts w:hint="eastAsia" w:ascii="仿宋" w:hAnsi="仿宋" w:eastAsia="仿宋"/>
          <w:snapToGrid w:val="0"/>
          <w:color w:val="000000"/>
          <w:kern w:val="0"/>
          <w:sz w:val="32"/>
          <w:szCs w:val="32"/>
        </w:rPr>
        <w:t>未来产业</w:t>
      </w:r>
      <w:r>
        <w:rPr>
          <w:rFonts w:hint="eastAsia" w:ascii="仿宋" w:hAnsi="仿宋" w:eastAsia="仿宋"/>
          <w:snapToGrid w:val="0"/>
          <w:color w:val="000000"/>
          <w:kern w:val="0"/>
          <w:sz w:val="32"/>
          <w:szCs w:val="32"/>
        </w:rPr>
        <w:fldChar w:fldCharType="end"/>
      </w:r>
      <w:r>
        <w:rPr>
          <w:rFonts w:hint="eastAsia" w:ascii="仿宋" w:hAnsi="仿宋" w:eastAsia="仿宋"/>
          <w:snapToGrid w:val="0"/>
          <w:color w:val="000000"/>
          <w:kern w:val="0"/>
          <w:sz w:val="32"/>
          <w:szCs w:val="32"/>
        </w:rPr>
        <w:t>，加快形成新质生产力。新质生产力是创新起主导作用，摆脱传统经济增长方式、生产力发展路径具有高科技、高效能、高质量特征符合新发展理念的先进生产力质态。</w:t>
      </w:r>
    </w:p>
    <w:p>
      <w:pPr>
        <w:overflowPunct w:val="0"/>
        <w:adjustRightInd w:val="0"/>
        <w:snapToGrid w:val="0"/>
        <w:spacing w:line="600" w:lineRule="exact"/>
        <w:ind w:firstLine="640" w:firstLineChars="200"/>
        <w:rPr>
          <w:rFonts w:ascii="仿宋" w:hAnsi="仿宋" w:eastAsia="仿宋"/>
          <w:snapToGrid w:val="0"/>
          <w:color w:val="000000"/>
          <w:kern w:val="0"/>
          <w:sz w:val="32"/>
          <w:szCs w:val="32"/>
        </w:rPr>
      </w:pPr>
      <w:r>
        <w:rPr>
          <w:rFonts w:hint="eastAsia" w:ascii="楷体" w:hAnsi="楷体" w:eastAsia="楷体"/>
          <w:snapToGrid w:val="0"/>
          <w:color w:val="000000"/>
          <w:kern w:val="0"/>
          <w:sz w:val="32"/>
          <w:szCs w:val="32"/>
        </w:rPr>
        <w:t>21.“三化”一流：</w:t>
      </w:r>
      <w:r>
        <w:rPr>
          <w:rFonts w:hint="eastAsia" w:ascii="仿宋" w:hAnsi="仿宋" w:eastAsia="仿宋"/>
          <w:snapToGrid w:val="0"/>
          <w:color w:val="000000"/>
          <w:kern w:val="0"/>
          <w:sz w:val="32"/>
          <w:szCs w:val="32"/>
        </w:rPr>
        <w:t>即市场化、法治化、国际化的一流营商环境。</w:t>
      </w:r>
    </w:p>
    <w:p>
      <w:pPr>
        <w:overflowPunct w:val="0"/>
        <w:adjustRightInd w:val="0"/>
        <w:snapToGrid w:val="0"/>
        <w:spacing w:line="600" w:lineRule="exact"/>
        <w:ind w:firstLine="640" w:firstLineChars="200"/>
        <w:rPr>
          <w:rFonts w:ascii="仿宋" w:hAnsi="仿宋" w:eastAsia="仿宋"/>
          <w:snapToGrid w:val="0"/>
          <w:color w:val="000000"/>
          <w:kern w:val="0"/>
          <w:sz w:val="32"/>
          <w:szCs w:val="32"/>
        </w:rPr>
      </w:pPr>
      <w:r>
        <w:rPr>
          <w:rFonts w:hint="eastAsia" w:ascii="楷体" w:hAnsi="楷体" w:eastAsia="楷体"/>
          <w:snapToGrid w:val="0"/>
          <w:color w:val="000000"/>
          <w:kern w:val="0"/>
          <w:sz w:val="32"/>
          <w:szCs w:val="32"/>
        </w:rPr>
        <w:t>22.两稳两扩两提：</w:t>
      </w:r>
      <w:r>
        <w:rPr>
          <w:rFonts w:hint="eastAsia" w:ascii="仿宋" w:hAnsi="仿宋" w:eastAsia="仿宋"/>
          <w:snapToGrid w:val="0"/>
          <w:color w:val="000000"/>
          <w:kern w:val="0"/>
          <w:sz w:val="32"/>
          <w:szCs w:val="32"/>
        </w:rPr>
        <w:t>稳面积、稳产量，扩大豆、扩油料，提单产、提自给率。</w:t>
      </w:r>
    </w:p>
    <w:p>
      <w:pPr>
        <w:overflowPunct w:val="0"/>
        <w:adjustRightInd w:val="0"/>
        <w:snapToGrid w:val="0"/>
        <w:spacing w:line="600" w:lineRule="exact"/>
        <w:ind w:firstLine="640" w:firstLineChars="200"/>
        <w:rPr>
          <w:rFonts w:ascii="仿宋" w:hAnsi="仿宋" w:eastAsia="仿宋"/>
          <w:snapToGrid w:val="0"/>
          <w:color w:val="000000"/>
          <w:kern w:val="0"/>
          <w:sz w:val="32"/>
          <w:szCs w:val="32"/>
        </w:rPr>
      </w:pPr>
      <w:r>
        <w:rPr>
          <w:rFonts w:hint="eastAsia" w:ascii="楷体" w:hAnsi="楷体" w:eastAsia="楷体"/>
          <w:snapToGrid w:val="0"/>
          <w:color w:val="000000"/>
          <w:kern w:val="0"/>
          <w:sz w:val="32"/>
          <w:szCs w:val="32"/>
        </w:rPr>
        <w:t>23.五气共治：</w:t>
      </w:r>
      <w:r>
        <w:rPr>
          <w:rFonts w:hint="eastAsia" w:ascii="仿宋" w:hAnsi="仿宋" w:eastAsia="仿宋"/>
          <w:snapToGrid w:val="0"/>
          <w:color w:val="000000"/>
          <w:kern w:val="0"/>
          <w:sz w:val="32"/>
          <w:szCs w:val="32"/>
        </w:rPr>
        <w:t>即尾气、油气、废气、土气、烟气。</w:t>
      </w:r>
    </w:p>
    <w:p>
      <w:pPr>
        <w:overflowPunct w:val="0"/>
        <w:adjustRightInd w:val="0"/>
        <w:snapToGrid w:val="0"/>
        <w:spacing w:line="600" w:lineRule="exact"/>
        <w:ind w:firstLine="632" w:firstLineChars="200"/>
        <w:rPr>
          <w:rFonts w:ascii="仿宋" w:hAnsi="仿宋" w:eastAsia="仿宋"/>
          <w:snapToGrid w:val="0"/>
          <w:color w:val="000000"/>
          <w:spacing w:val="-2"/>
          <w:kern w:val="0"/>
          <w:sz w:val="32"/>
          <w:szCs w:val="32"/>
        </w:rPr>
      </w:pPr>
      <w:r>
        <w:rPr>
          <w:rFonts w:hint="eastAsia" w:ascii="楷体" w:hAnsi="楷体" w:eastAsia="楷体"/>
          <w:snapToGrid w:val="0"/>
          <w:color w:val="000000"/>
          <w:spacing w:val="-2"/>
          <w:kern w:val="0"/>
          <w:sz w:val="32"/>
          <w:szCs w:val="32"/>
        </w:rPr>
        <w:t>24.五水共治：</w:t>
      </w:r>
      <w:r>
        <w:rPr>
          <w:rFonts w:hint="eastAsia" w:ascii="仿宋" w:hAnsi="仿宋" w:eastAsia="仿宋"/>
          <w:snapToGrid w:val="0"/>
          <w:color w:val="000000"/>
          <w:spacing w:val="-2"/>
          <w:kern w:val="0"/>
          <w:sz w:val="32"/>
          <w:szCs w:val="32"/>
        </w:rPr>
        <w:t>即防洪水、排涝水、保供水、抓节水、治污水。</w:t>
      </w:r>
    </w:p>
    <w:p>
      <w:pPr>
        <w:overflowPunct w:val="0"/>
        <w:adjustRightInd w:val="0"/>
        <w:snapToGrid w:val="0"/>
        <w:spacing w:line="600" w:lineRule="exact"/>
        <w:ind w:firstLine="640" w:firstLineChars="200"/>
        <w:rPr>
          <w:rFonts w:ascii="仿宋" w:hAnsi="仿宋" w:eastAsia="仿宋"/>
          <w:snapToGrid w:val="0"/>
          <w:color w:val="000000"/>
          <w:kern w:val="0"/>
          <w:sz w:val="32"/>
          <w:szCs w:val="32"/>
        </w:rPr>
      </w:pPr>
      <w:r>
        <w:rPr>
          <w:rFonts w:hint="eastAsia" w:ascii="楷体" w:hAnsi="楷体" w:eastAsia="楷体"/>
          <w:snapToGrid w:val="0"/>
          <w:color w:val="000000"/>
          <w:kern w:val="0"/>
          <w:sz w:val="32"/>
          <w:szCs w:val="32"/>
        </w:rPr>
        <w:t>25.“五好”教育：</w:t>
      </w:r>
      <w:r>
        <w:rPr>
          <w:rFonts w:hint="eastAsia" w:ascii="仿宋" w:hAnsi="仿宋" w:eastAsia="仿宋"/>
          <w:snapToGrid w:val="0"/>
          <w:color w:val="000000"/>
          <w:kern w:val="0"/>
          <w:sz w:val="32"/>
          <w:szCs w:val="32"/>
        </w:rPr>
        <w:t>即好学校</w:t>
      </w:r>
      <w:bookmarkStart w:id="0" w:name="_GoBack"/>
      <w:bookmarkEnd w:id="0"/>
      <w:r>
        <w:rPr>
          <w:rFonts w:hint="eastAsia" w:ascii="仿宋" w:hAnsi="仿宋" w:eastAsia="仿宋"/>
          <w:snapToGrid w:val="0"/>
          <w:color w:val="000000"/>
          <w:kern w:val="0"/>
          <w:sz w:val="32"/>
          <w:szCs w:val="32"/>
        </w:rPr>
        <w:t>、好校长、好班主任、好教师、好学生。</w:t>
      </w:r>
    </w:p>
    <w:p>
      <w:pPr>
        <w:keepNext w:val="0"/>
        <w:keepLines w:val="0"/>
        <w:pageBreakBefore w:val="0"/>
        <w:widowControl/>
        <w:kinsoku/>
        <w:wordWrap/>
        <w:overflowPunct w:val="0"/>
        <w:topLinePunct/>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sectPr>
      <w:headerReference r:id="rId3" w:type="default"/>
      <w:pgSz w:w="11906" w:h="16838"/>
      <w:pgMar w:top="1701" w:right="1417" w:bottom="170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mirrorMargins w:val="1"/>
  <w:bordersDoNotSurroundHeader w:val="0"/>
  <w:bordersDoNotSurroundFooter w:val="0"/>
  <w:doNotTrackMoves/>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MzgwYzkzMDkyMmUxM2FhNmNlMTNjMDExYWY4OTgifQ=="/>
    <w:docVar w:name="KSO_WPS_MARK_KEY" w:val="e4474604-eef2-4f8c-99b4-ff42bd1b8682"/>
  </w:docVars>
  <w:rsids>
    <w:rsidRoot w:val="008858A5"/>
    <w:rsid w:val="00045F82"/>
    <w:rsid w:val="00093C01"/>
    <w:rsid w:val="00121EEB"/>
    <w:rsid w:val="001E2A98"/>
    <w:rsid w:val="002D1859"/>
    <w:rsid w:val="003953C6"/>
    <w:rsid w:val="00420F40"/>
    <w:rsid w:val="004E14AD"/>
    <w:rsid w:val="005274B6"/>
    <w:rsid w:val="0056175B"/>
    <w:rsid w:val="006F5F60"/>
    <w:rsid w:val="007F1E9E"/>
    <w:rsid w:val="008858A5"/>
    <w:rsid w:val="008F576F"/>
    <w:rsid w:val="009272B9"/>
    <w:rsid w:val="0096466A"/>
    <w:rsid w:val="009944D7"/>
    <w:rsid w:val="009C39CA"/>
    <w:rsid w:val="009F7E9F"/>
    <w:rsid w:val="00BD2082"/>
    <w:rsid w:val="00C93113"/>
    <w:rsid w:val="00D06398"/>
    <w:rsid w:val="00D16A5E"/>
    <w:rsid w:val="00D52A1C"/>
    <w:rsid w:val="00DB2E32"/>
    <w:rsid w:val="00E506FB"/>
    <w:rsid w:val="00F30852"/>
    <w:rsid w:val="00F67CAA"/>
    <w:rsid w:val="021F1D42"/>
    <w:rsid w:val="02793C11"/>
    <w:rsid w:val="02D6004B"/>
    <w:rsid w:val="04E14920"/>
    <w:rsid w:val="054B5144"/>
    <w:rsid w:val="059D03BE"/>
    <w:rsid w:val="05DC77F2"/>
    <w:rsid w:val="07702D12"/>
    <w:rsid w:val="08BB121F"/>
    <w:rsid w:val="092226E7"/>
    <w:rsid w:val="0A1C2A32"/>
    <w:rsid w:val="0D277AAC"/>
    <w:rsid w:val="0D9D2046"/>
    <w:rsid w:val="10E420CA"/>
    <w:rsid w:val="11486595"/>
    <w:rsid w:val="123771DA"/>
    <w:rsid w:val="128D163B"/>
    <w:rsid w:val="12B44ECD"/>
    <w:rsid w:val="133E086C"/>
    <w:rsid w:val="13642F95"/>
    <w:rsid w:val="13642FAB"/>
    <w:rsid w:val="13B111C8"/>
    <w:rsid w:val="14AE3227"/>
    <w:rsid w:val="161111DE"/>
    <w:rsid w:val="169B14EC"/>
    <w:rsid w:val="16C65DCB"/>
    <w:rsid w:val="177E469F"/>
    <w:rsid w:val="189527AE"/>
    <w:rsid w:val="19F3169D"/>
    <w:rsid w:val="1A5F14C7"/>
    <w:rsid w:val="1B5E439D"/>
    <w:rsid w:val="1B5F50DF"/>
    <w:rsid w:val="1B6E4546"/>
    <w:rsid w:val="1BB64DA3"/>
    <w:rsid w:val="1C2B496E"/>
    <w:rsid w:val="206C653F"/>
    <w:rsid w:val="20915EDA"/>
    <w:rsid w:val="223F524D"/>
    <w:rsid w:val="225F44E2"/>
    <w:rsid w:val="22A26045"/>
    <w:rsid w:val="22F265DB"/>
    <w:rsid w:val="239815CD"/>
    <w:rsid w:val="24766F6A"/>
    <w:rsid w:val="249C6878"/>
    <w:rsid w:val="253F3268"/>
    <w:rsid w:val="25900A04"/>
    <w:rsid w:val="25FC7C42"/>
    <w:rsid w:val="27A85124"/>
    <w:rsid w:val="27BD2F79"/>
    <w:rsid w:val="29362672"/>
    <w:rsid w:val="29E51C31"/>
    <w:rsid w:val="2A0D7892"/>
    <w:rsid w:val="2A1C70F3"/>
    <w:rsid w:val="2B247C47"/>
    <w:rsid w:val="2B375A25"/>
    <w:rsid w:val="2B9C5B72"/>
    <w:rsid w:val="2C3711CD"/>
    <w:rsid w:val="2D1F51B9"/>
    <w:rsid w:val="2E2011E8"/>
    <w:rsid w:val="2F276CC9"/>
    <w:rsid w:val="30362A72"/>
    <w:rsid w:val="3112115B"/>
    <w:rsid w:val="31651EEF"/>
    <w:rsid w:val="31CD03A6"/>
    <w:rsid w:val="31F640CB"/>
    <w:rsid w:val="32A51D8B"/>
    <w:rsid w:val="330B5849"/>
    <w:rsid w:val="332D4EEE"/>
    <w:rsid w:val="33D310CB"/>
    <w:rsid w:val="35C708E3"/>
    <w:rsid w:val="35D51DD1"/>
    <w:rsid w:val="35E63378"/>
    <w:rsid w:val="363F5CAB"/>
    <w:rsid w:val="36572C3B"/>
    <w:rsid w:val="3B062460"/>
    <w:rsid w:val="3BDE4E86"/>
    <w:rsid w:val="3BF5352F"/>
    <w:rsid w:val="3C784B96"/>
    <w:rsid w:val="3CAB5C89"/>
    <w:rsid w:val="3CAF070A"/>
    <w:rsid w:val="3D587E79"/>
    <w:rsid w:val="3DB543D2"/>
    <w:rsid w:val="3F1C2BD2"/>
    <w:rsid w:val="40870BA4"/>
    <w:rsid w:val="40DA1EE3"/>
    <w:rsid w:val="422171A1"/>
    <w:rsid w:val="42250BAF"/>
    <w:rsid w:val="43F638C9"/>
    <w:rsid w:val="441E0BCD"/>
    <w:rsid w:val="444233E6"/>
    <w:rsid w:val="44A87CE3"/>
    <w:rsid w:val="45A06AA9"/>
    <w:rsid w:val="45C96D56"/>
    <w:rsid w:val="482C7509"/>
    <w:rsid w:val="48F67F01"/>
    <w:rsid w:val="4AE56068"/>
    <w:rsid w:val="4AFA39FF"/>
    <w:rsid w:val="4B8576A2"/>
    <w:rsid w:val="4C317A9B"/>
    <w:rsid w:val="4CED6BE2"/>
    <w:rsid w:val="4F33060C"/>
    <w:rsid w:val="514B0927"/>
    <w:rsid w:val="51B96A64"/>
    <w:rsid w:val="527378F4"/>
    <w:rsid w:val="53014FDF"/>
    <w:rsid w:val="53883434"/>
    <w:rsid w:val="543D1D71"/>
    <w:rsid w:val="549420F8"/>
    <w:rsid w:val="54F74688"/>
    <w:rsid w:val="581534B9"/>
    <w:rsid w:val="583D2BB8"/>
    <w:rsid w:val="597F197D"/>
    <w:rsid w:val="59A2167A"/>
    <w:rsid w:val="5A767439"/>
    <w:rsid w:val="5B210CBC"/>
    <w:rsid w:val="5B327A93"/>
    <w:rsid w:val="5C18397A"/>
    <w:rsid w:val="5D175984"/>
    <w:rsid w:val="5DFC0A76"/>
    <w:rsid w:val="5E6A5872"/>
    <w:rsid w:val="5E7E3BD5"/>
    <w:rsid w:val="5ED34348"/>
    <w:rsid w:val="5EDB71D6"/>
    <w:rsid w:val="5EE65A56"/>
    <w:rsid w:val="61BB6364"/>
    <w:rsid w:val="62834372"/>
    <w:rsid w:val="62B0554C"/>
    <w:rsid w:val="62B548E0"/>
    <w:rsid w:val="63370006"/>
    <w:rsid w:val="65F16867"/>
    <w:rsid w:val="666A489C"/>
    <w:rsid w:val="69157E2E"/>
    <w:rsid w:val="693619AB"/>
    <w:rsid w:val="69535FFE"/>
    <w:rsid w:val="69C062E8"/>
    <w:rsid w:val="6AB42F43"/>
    <w:rsid w:val="6B5D732E"/>
    <w:rsid w:val="6C1A1825"/>
    <w:rsid w:val="6C652872"/>
    <w:rsid w:val="6CDA733A"/>
    <w:rsid w:val="6D3F3943"/>
    <w:rsid w:val="6DE02BE0"/>
    <w:rsid w:val="6F0111B5"/>
    <w:rsid w:val="6F0160F8"/>
    <w:rsid w:val="6F3908A4"/>
    <w:rsid w:val="6FDF70C6"/>
    <w:rsid w:val="70A72D6A"/>
    <w:rsid w:val="70A83C78"/>
    <w:rsid w:val="70B858C9"/>
    <w:rsid w:val="719A3570"/>
    <w:rsid w:val="71B0574D"/>
    <w:rsid w:val="72424730"/>
    <w:rsid w:val="72C0501C"/>
    <w:rsid w:val="73BD7AC5"/>
    <w:rsid w:val="7540304E"/>
    <w:rsid w:val="76A644B0"/>
    <w:rsid w:val="77201D34"/>
    <w:rsid w:val="777F5B7C"/>
    <w:rsid w:val="78603302"/>
    <w:rsid w:val="788B411D"/>
    <w:rsid w:val="7C292EFF"/>
    <w:rsid w:val="7C2B3B33"/>
    <w:rsid w:val="7CA86364"/>
    <w:rsid w:val="7E9F6274"/>
    <w:rsid w:val="7EBC2752"/>
    <w:rsid w:val="7EF040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6">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List Paragraph"/>
    <w:basedOn w:val="1"/>
    <w:next w:val="3"/>
    <w:qFormat/>
    <w:uiPriority w:val="34"/>
    <w:pPr>
      <w:ind w:firstLine="420" w:firstLineChars="200"/>
    </w:pPr>
  </w:style>
  <w:style w:type="paragraph" w:styleId="3">
    <w:name w:val="toc 1"/>
    <w:basedOn w:val="1"/>
    <w:next w:val="1"/>
    <w:qFormat/>
    <w:uiPriority w:val="0"/>
  </w:style>
  <w:style w:type="paragraph" w:styleId="7">
    <w:name w:val="footer"/>
    <w:basedOn w:val="1"/>
    <w:next w:val="8"/>
    <w:link w:val="17"/>
    <w:qFormat/>
    <w:uiPriority w:val="0"/>
    <w:pPr>
      <w:tabs>
        <w:tab w:val="center" w:pos="4153"/>
        <w:tab w:val="right" w:pos="8306"/>
      </w:tabs>
      <w:snapToGrid w:val="0"/>
      <w:jc w:val="left"/>
    </w:pPr>
    <w:rPr>
      <w:sz w:val="18"/>
      <w:szCs w:val="18"/>
    </w:rPr>
  </w:style>
  <w:style w:type="paragraph" w:customStyle="1" w:styleId="8">
    <w:name w:val="Index5"/>
    <w:basedOn w:val="1"/>
    <w:next w:val="1"/>
    <w:qFormat/>
    <w:uiPriority w:val="0"/>
    <w:pPr>
      <w:spacing w:line="600" w:lineRule="exact"/>
      <w:ind w:right="640" w:firstLine="630"/>
      <w:textAlignment w:val="baseline"/>
    </w:pPr>
    <w:rPr>
      <w:rFonts w:ascii="黑体" w:hAnsi="Times New Roman" w:eastAsia="黑体"/>
      <w:szCs w:val="22"/>
    </w:rPr>
  </w:style>
  <w:style w:type="paragraph" w:styleId="9">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character" w:styleId="15">
    <w:name w:val="Hyperlink"/>
    <w:basedOn w:val="13"/>
    <w:qFormat/>
    <w:uiPriority w:val="0"/>
    <w:rPr>
      <w:color w:val="0000FF"/>
      <w:u w:val="single"/>
    </w:rPr>
  </w:style>
  <w:style w:type="character" w:customStyle="1" w:styleId="16">
    <w:name w:val="页眉 Char"/>
    <w:link w:val="9"/>
    <w:qFormat/>
    <w:uiPriority w:val="0"/>
    <w:rPr>
      <w:rFonts w:ascii="Calibri" w:hAnsi="Calibri" w:eastAsia="宋体" w:cs="黑体"/>
      <w:kern w:val="2"/>
      <w:sz w:val="18"/>
      <w:szCs w:val="18"/>
    </w:rPr>
  </w:style>
  <w:style w:type="character" w:customStyle="1" w:styleId="17">
    <w:name w:val="页脚 Char"/>
    <w:link w:val="7"/>
    <w:qFormat/>
    <w:uiPriority w:val="0"/>
    <w:rPr>
      <w:rFonts w:ascii="Calibri" w:hAnsi="Calibri" w:eastAsia="宋体" w:cs="黑体"/>
      <w:kern w:val="2"/>
      <w:sz w:val="18"/>
      <w:szCs w:val="18"/>
    </w:rPr>
  </w:style>
  <w:style w:type="character" w:customStyle="1" w:styleId="18">
    <w:name w:val="15"/>
    <w:basedOn w:val="13"/>
    <w:qFormat/>
    <w:uiPriority w:val="0"/>
    <w:rPr>
      <w:rFonts w:hint="default" w:ascii="Times New Roman" w:hAnsi="Times New Roman" w:cs="Times New Roman"/>
      <w:sz w:val="20"/>
      <w:szCs w:val="20"/>
    </w:rPr>
  </w:style>
  <w:style w:type="character" w:customStyle="1" w:styleId="19">
    <w:name w:val="NormalCharacter"/>
    <w:link w:val="20"/>
    <w:qFormat/>
    <w:uiPriority w:val="99"/>
    <w:rPr>
      <w:kern w:val="0"/>
      <w:sz w:val="20"/>
      <w:szCs w:val="20"/>
    </w:rPr>
  </w:style>
  <w:style w:type="paragraph" w:customStyle="1" w:styleId="20">
    <w:name w:val="UserStyle_28"/>
    <w:basedOn w:val="1"/>
    <w:link w:val="19"/>
    <w:qFormat/>
    <w:uiPriority w:val="99"/>
    <w:pPr>
      <w:tabs>
        <w:tab w:val="left" w:pos="907"/>
      </w:tabs>
      <w:ind w:left="907" w:hanging="453"/>
      <w:textAlignment w:val="baseline"/>
    </w:pPr>
    <w:rPr>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21</Pages>
  <Words>9781</Words>
  <Characters>10368</Characters>
  <Lines>2</Lines>
  <Paragraphs>1</Paragraphs>
  <TotalTime>7</TotalTime>
  <ScaleCrop>false</ScaleCrop>
  <LinksUpToDate>false</LinksUpToDate>
  <CharactersWithSpaces>10471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汤思绚</cp:lastModifiedBy>
  <dcterms:modified xsi:type="dcterms:W3CDTF">2024-04-03T10:00:19Z</dcterms:modified>
  <dc:title>长沙市岳麓区信息中心</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CD3737683CEE43728B60236EE235451E_13</vt:lpwstr>
  </property>
</Properties>
</file>