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98" w:firstLineChars="62"/>
        <w:rPr>
          <w:rFonts w:hint="default" w:ascii="黑体" w:eastAsia="黑体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CSDR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—</w:t>
      </w:r>
      <w:r>
        <w:rPr>
          <w:rFonts w:hint="eastAsia" w:ascii="黑体" w:eastAsia="黑体"/>
          <w:color w:val="auto"/>
          <w:sz w:val="32"/>
          <w:szCs w:val="32"/>
        </w:rPr>
        <w:t>202</w:t>
      </w:r>
      <w:r>
        <w:rPr>
          <w:rFonts w:hint="default" w:ascii="黑体" w:eastAsia="黑体"/>
          <w:color w:val="auto"/>
          <w:sz w:val="32"/>
          <w:szCs w:val="32"/>
          <w:lang w:val="en"/>
        </w:rPr>
        <w:t>3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—</w:t>
      </w:r>
      <w:r>
        <w:rPr>
          <w:rFonts w:hint="eastAsia" w:ascii="黑体" w:eastAsia="黑体"/>
          <w:color w:val="auto"/>
          <w:sz w:val="32"/>
          <w:szCs w:val="32"/>
        </w:rPr>
        <w:t>0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0</w:t>
      </w:r>
      <w:r>
        <w:rPr>
          <w:rFonts w:hint="eastAsia" w:ascii="黑体" w:eastAsia="黑体"/>
          <w:color w:val="auto"/>
          <w:sz w:val="32"/>
          <w:szCs w:val="32"/>
        </w:rPr>
        <w:t>00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hint="default" w:ascii="黑体" w:eastAsia="黑体"/>
          <w:color w:val="auto"/>
          <w:sz w:val="32"/>
          <w:szCs w:val="32"/>
          <w:highlight w:val="none"/>
          <w:lang w:val="en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color w:val="auto"/>
          <w:highlight w:val="none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pStyle w:val="13"/>
        <w:spacing w:line="20" w:lineRule="exact"/>
        <w:ind w:left="0" w:firstLine="641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pStyle w:val="13"/>
        <w:spacing w:line="540" w:lineRule="exact"/>
        <w:jc w:val="center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长县政发〔202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〕</w:t>
      </w:r>
      <w:r>
        <w:rPr>
          <w:rFonts w:hint="default" w:ascii="仿宋_GB2312" w:hAnsi="仿宋" w:eastAsia="仿宋_GB2312"/>
          <w:color w:val="auto"/>
          <w:sz w:val="32"/>
          <w:szCs w:val="32"/>
          <w:highlight w:val="none"/>
          <w:lang w:val="e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号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/>
        <w:jc w:val="both"/>
        <w:textAlignment w:val="bottom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/>
        <w:jc w:val="both"/>
        <w:textAlignment w:val="bottom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长沙县人民政府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长沙县全力支持湘商回归和返乡创业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十条政策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的通知</w:t>
      </w:r>
    </w:p>
    <w:p>
      <w:pPr>
        <w:spacing w:line="540" w:lineRule="exac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-US" w:eastAsia="zh-CN" w:bidi="ar-SA"/>
        </w:rPr>
        <w:t>各镇人民政府、街道办事处，县直各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" w:eastAsia="zh-CN" w:bidi="ar-SA"/>
        </w:rPr>
        <w:t>相关</w:t>
      </w: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-US" w:eastAsia="zh-CN" w:bidi="ar-SA"/>
        </w:rPr>
        <w:t>单位：</w:t>
      </w:r>
    </w:p>
    <w:p>
      <w:p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0"/>
          <w:kern w:val="2"/>
          <w:position w:val="0"/>
          <w:sz w:val="32"/>
          <w:szCs w:val="32"/>
          <w:lang w:val="en-US" w:eastAsia="zh-CN" w:bidi="ar-SA"/>
        </w:rPr>
        <w:t>《长沙县全力支持湘商回归和返乡创业十条政策》已经县人民政府同意，现印发给你们，请认真遵照执行。</w:t>
      </w:r>
    </w:p>
    <w:p>
      <w:pPr>
        <w:spacing w:before="1" w:line="218" w:lineRule="auto"/>
        <w:ind w:left="19"/>
        <w:rPr>
          <w:rFonts w:hint="eastAsia" w:ascii="楷体_GB2312" w:hAnsi="楷体_GB2312" w:eastAsia="楷体_GB2312" w:cs="楷体_GB2312"/>
          <w:spacing w:val="23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600" w:firstLineChars="5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/>
        <w:jc w:val="righ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长沙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县人民政府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 xml:space="preserve">  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0"/>
        <w:jc w:val="right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5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>18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/>
        </w:rPr>
        <w:t xml:space="preserve">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长沙县全力支持湘商回归和返乡创业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十条政策</w:t>
      </w:r>
    </w:p>
    <w:p>
      <w:pPr>
        <w:spacing w:line="560" w:lineRule="exact"/>
        <w:jc w:val="left"/>
        <w:rPr>
          <w:rFonts w:ascii="微软雅黑" w:hAnsi="微软雅黑" w:eastAsia="微软雅黑" w:cs="微软雅黑"/>
          <w:b w:val="0"/>
          <w:bCs w:val="0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为深入实施“鸿雁归来强星沙”专项行动，更高层次、更大力度推动湘商回归和返乡创业，根据国家、省、市决策部署和文件精神，结合我县实际，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制定以下政策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加强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eastAsia="zh-CN"/>
        </w:rPr>
        <w:t>湘商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联络和服务。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县人民政府</w:t>
      </w:r>
      <w:bookmarkStart w:id="0" w:name="_Hlk12719064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设立“星创天地”产业发展、科创发展、人才发展、文旅发展、商贸发展、农创发展六大类别创业平台和园区、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镇（街）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 w:eastAsia="zh-CN"/>
        </w:rPr>
        <w:t>湘商回归和返乡创业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服务联络站，</w:t>
      </w:r>
      <w:bookmarkStart w:id="1" w:name="_Hlk12719087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共同为湘商回归和返乡创业提供落地服务</w:t>
      </w:r>
      <w:bookmarkEnd w:id="0"/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；县人民政府在北京、上海、广州、深圳、成都、杭州、武汉、昆明、东莞、佛山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等城市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及欧洲、东盟、美国、日本等地设立湘友服务联络站，为湘商回归和返乡创业提供联络服务。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由县农业农村局、县商务局、县工商联及相关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镇（街）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40" w:firstLineChars="2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设立产业投资基金。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长沙县、长沙经开区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设立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30亿元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产业投资基金，聚焦战略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新兴产业，全力支持湘商回归和返乡创业。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由县金融事务中心、星城控股集团按职责分工负责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支持产业项目投资。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对新落户长沙经开区、自贸会展区、自贸临空区的产业项目，享受园区各项优惠政策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对重大项目落户实行“一事一议”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对世界500强来县新设中国区总部，且注册资本在2000万元以上的，给予最高1000万元奖励；中国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500强、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中国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民营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500强来县新设立企业（集团）总部，且实际到位资金1亿元以上的，给予最高1000万元奖励。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县商务局、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经开区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经济合作局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、自贸会展区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招商合作局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、自贸临空区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招商合作局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支持生活性服务业投资兴业。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对新落户我县的生活性服务业项目，承租县属国有企业和行政事业单位权属物业且经营地在长沙县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范围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内的，</w:t>
      </w:r>
      <w:bookmarkStart w:id="2" w:name="_Hlk12719110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连续三年给予租金减免50%的优惠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由县财政局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、星城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控股</w:t>
      </w:r>
      <w:r>
        <w:rPr>
          <w:rFonts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集团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五、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支持生产性服务业投资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兴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对新落户我县的生产性服务业项目，按类别、办公面积给予最高30万元的租赁费用补助；对符合条件的新入驻企业，给予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最高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200万元奖励。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由县发改局、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商务局按职责分工负责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六、支持现代农业投资兴业。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对新落户我县的农业经营主体，享受农业项目相应的扶持政策；对当年固定资产投资50万元以上的农产品加工企业，给予不超过当年固定资产投资额的20%、单个主体最高100万元的奖补资金支持；对入驻长沙县北部农产品精深加工园的主体，连续三年给予厂房租金减免50%的优惠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由县农业农村局、星城控股集团按职责分工负责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七、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支持文旅投资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兴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对新落户我县的文旅项目，设立“宣传推广奖、引客入县奖、品牌创建奖、旅游新业态奖、旅游标杆奖”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文旅企业开展文旅配套设施建设和文旅项目建设，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给予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不超过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当年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实际投资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40%、单个项目最高50万元的奖补资金支持。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由县文旅局按职责分工负责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八、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支持人才回乡落户。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长沙县、长沙经开区投入15亿元加快推进人才高质量发展。对符合条件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新落户我县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的人才，享受“县区人才政策22条”。对重点产业新引进的紧缺急需人才、骨干人才和优秀青年人才，给予最高60万元补贴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我县范围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首次购房的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一次性给予最高20万元购房补贴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对创办企业的按照实际有效投入的50%给予最高600万元的项目资金扶持。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eastAsia="zh-CN"/>
        </w:rPr>
        <w:t>委组织部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九、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提供创业贷款贴息支持。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符合条件的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新落户我县返乡创业者，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lang w:val="en"/>
        </w:rPr>
        <w:t>按投资规模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/>
        </w:rPr>
        <w:t>给予贴息支持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" w:eastAsia="zh-C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由县人社局、县农业农村局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"/>
        </w:rPr>
        <w:t>]</w:t>
      </w:r>
    </w:p>
    <w:p>
      <w:pPr>
        <w:spacing w:line="560" w:lineRule="exact"/>
        <w:ind w:firstLine="600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  <w:lang w:val="en"/>
        </w:rPr>
        <w:t>十、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shd w:val="clear" w:color="auto" w:fill="FFFFFF"/>
        </w:rPr>
        <w:t>开辟政务服务“绿色通道”。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在县政务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大厅设立湘商回归和返乡创业“服务专窗”，实现“一件事一次办”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对湘商回归和返乡创业投资建设项目涉及的行政审批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事项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，提供全程免费帮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/>
        </w:rPr>
        <w:t>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代办服务。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[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由县市监局、县行政审批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服务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</w:rPr>
        <w:t>局按职责分工负责</w:t>
      </w: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shd w:val="clear" w:color="auto" w:fill="FFFFFF"/>
          <w:lang w:val="en"/>
        </w:rPr>
        <w:t>]</w:t>
      </w:r>
    </w:p>
    <w:tbl>
      <w:tblPr>
        <w:tblStyle w:val="9"/>
        <w:tblpPr w:leftFromText="180" w:rightFromText="180" w:vertAnchor="text" w:horzAnchor="page" w:tblpXSpec="center" w:tblpY="2425"/>
        <w:tblOverlap w:val="never"/>
        <w:tblW w:w="5000" w:type="pct"/>
        <w:jc w:val="center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12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000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抄送：县委各部门，县人武部。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县人大办，县政协办，县人民法院，县人民检察院。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12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长沙县人民政府办公室                    202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  <w:bookmarkStart w:id="3" w:name="_GoBack"/>
            <w:bookmarkEnd w:id="3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ind w:firstLine="6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" w:eastAsia="zh-CN"/>
        </w:rPr>
        <w:t>本政策自发布之日起实施，有效期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2年。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41" w:right="1531" w:bottom="2041" w:left="1531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iNGZkYjdmNDY5NTAyZjM4NTUxZmM3OTRmNDIxYWIifQ=="/>
  </w:docVars>
  <w:rsids>
    <w:rsidRoot w:val="FF2EDE95"/>
    <w:rsid w:val="000E5126"/>
    <w:rsid w:val="004128B1"/>
    <w:rsid w:val="00441452"/>
    <w:rsid w:val="00470FE1"/>
    <w:rsid w:val="006D49C9"/>
    <w:rsid w:val="00727C14"/>
    <w:rsid w:val="008255F1"/>
    <w:rsid w:val="00957397"/>
    <w:rsid w:val="009F1BCB"/>
    <w:rsid w:val="00A52E24"/>
    <w:rsid w:val="00A55A2B"/>
    <w:rsid w:val="00BB59D5"/>
    <w:rsid w:val="00C21A24"/>
    <w:rsid w:val="00C47B54"/>
    <w:rsid w:val="00C838F6"/>
    <w:rsid w:val="00F2707E"/>
    <w:rsid w:val="00FC716C"/>
    <w:rsid w:val="03E55CD4"/>
    <w:rsid w:val="34FDD636"/>
    <w:rsid w:val="37B6E4EE"/>
    <w:rsid w:val="4AFFAC33"/>
    <w:rsid w:val="58E34262"/>
    <w:rsid w:val="5F75C005"/>
    <w:rsid w:val="5F7E0D7C"/>
    <w:rsid w:val="5FDBF718"/>
    <w:rsid w:val="620AC3E0"/>
    <w:rsid w:val="69CB0C56"/>
    <w:rsid w:val="6C9E027F"/>
    <w:rsid w:val="6CBFCA27"/>
    <w:rsid w:val="74DFC953"/>
    <w:rsid w:val="767D74FD"/>
    <w:rsid w:val="76FFC675"/>
    <w:rsid w:val="7765618E"/>
    <w:rsid w:val="77FBDE18"/>
    <w:rsid w:val="7FEDDD79"/>
    <w:rsid w:val="98E72395"/>
    <w:rsid w:val="B77F2126"/>
    <w:rsid w:val="BBFA61D1"/>
    <w:rsid w:val="BEFB598D"/>
    <w:rsid w:val="BFFB15DA"/>
    <w:rsid w:val="D3E73CDE"/>
    <w:rsid w:val="D67DC437"/>
    <w:rsid w:val="D6DF7A84"/>
    <w:rsid w:val="D73E1F59"/>
    <w:rsid w:val="D77D9E0E"/>
    <w:rsid w:val="DB4F9502"/>
    <w:rsid w:val="EFCF3B00"/>
    <w:rsid w:val="F3FE2348"/>
    <w:rsid w:val="F4F71FB6"/>
    <w:rsid w:val="F9FD337B"/>
    <w:rsid w:val="FBED1DFF"/>
    <w:rsid w:val="FBFB088B"/>
    <w:rsid w:val="FBFD1FF5"/>
    <w:rsid w:val="FCFBE671"/>
    <w:rsid w:val="FE875215"/>
    <w:rsid w:val="FEEF8573"/>
    <w:rsid w:val="FF2EDE95"/>
    <w:rsid w:val="FF7D06E3"/>
    <w:rsid w:val="FFF294C2"/>
    <w:rsid w:val="FFFD254E"/>
    <w:rsid w:val="FF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lock Text"/>
    <w:basedOn w:val="1"/>
    <w:qFormat/>
    <w:uiPriority w:val="0"/>
    <w:pPr>
      <w:spacing w:after="120"/>
      <w:ind w:left="700" w:leftChars="700" w:right="700" w:rightChars="7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paragraph" w:customStyle="1" w:styleId="11">
    <w:name w:val="BodyText1I2"/>
    <w:basedOn w:val="12"/>
    <w:next w:val="1"/>
    <w:qFormat/>
    <w:uiPriority w:val="99"/>
    <w:pPr>
      <w:ind w:firstLine="420" w:firstLineChars="200"/>
    </w:pPr>
  </w:style>
  <w:style w:type="paragraph" w:customStyle="1" w:styleId="12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 w:cs="Times New Roman"/>
    </w:rPr>
  </w:style>
  <w:style w:type="paragraph" w:customStyle="1" w:styleId="13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1621</Words>
  <Characters>1681</Characters>
  <Lines>10</Lines>
  <Paragraphs>2</Paragraphs>
  <TotalTime>3</TotalTime>
  <ScaleCrop>false</ScaleCrop>
  <LinksUpToDate>false</LinksUpToDate>
  <CharactersWithSpaces>1720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2023-02-18T11:39:00Z</dcterms:created>
  <dc:creator>kylin</dc:creator>
  <cp:lastModifiedBy>kylin</cp:lastModifiedBy>
  <cp:lastPrinted>2023-05-23T10:48:43Z</cp:lastPrinted>
  <dcterms:modified xsi:type="dcterms:W3CDTF">2023-05-23T10:49:01Z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2E6A28DBB6E64B70B06CBEBB770A9BD0</vt:lpwstr>
  </property>
</Properties>
</file>