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长沙</w:t>
      </w:r>
      <w:r>
        <w:rPr>
          <w:rFonts w:hint="eastAsia" w:ascii="方正小标宋简体" w:eastAsia="方正小标宋简体"/>
          <w:sz w:val="36"/>
          <w:szCs w:val="36"/>
        </w:rPr>
        <w:t>县妇</w:t>
      </w:r>
      <w:r>
        <w:rPr>
          <w:rFonts w:hint="eastAsia" w:ascii="方正小标宋简体" w:eastAsia="方正小标宋简体"/>
          <w:sz w:val="36"/>
          <w:szCs w:val="36"/>
          <w:lang w:val="en-US" w:eastAsia="zh-CN"/>
        </w:rPr>
        <w:t>女</w:t>
      </w:r>
      <w:r>
        <w:rPr>
          <w:rFonts w:hint="eastAsia" w:ascii="方正小标宋简体" w:eastAsia="方正小标宋简体"/>
          <w:sz w:val="36"/>
          <w:szCs w:val="36"/>
        </w:rPr>
        <w:t>联</w:t>
      </w:r>
      <w:r>
        <w:rPr>
          <w:rFonts w:hint="eastAsia" w:ascii="方正小标宋简体" w:eastAsia="方正小标宋简体"/>
          <w:sz w:val="36"/>
          <w:szCs w:val="36"/>
          <w:lang w:val="en-US" w:eastAsia="zh-CN"/>
        </w:rPr>
        <w:t>合会</w:t>
      </w: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年度整体支出</w:t>
      </w:r>
    </w:p>
    <w:p>
      <w:pPr>
        <w:jc w:val="center"/>
        <w:rPr>
          <w:rFonts w:ascii="方正小标宋简体" w:eastAsia="方正小标宋简体"/>
          <w:sz w:val="36"/>
          <w:szCs w:val="36"/>
        </w:rPr>
      </w:pPr>
      <w:r>
        <w:rPr>
          <w:rFonts w:hint="eastAsia" w:ascii="方正小标宋简体" w:eastAsia="方正小标宋简体"/>
          <w:sz w:val="36"/>
          <w:szCs w:val="36"/>
        </w:rPr>
        <w:t>绩效自评报告</w:t>
      </w:r>
    </w:p>
    <w:p>
      <w:pPr>
        <w:ind w:firstLine="640" w:firstLineChars="200"/>
        <w:jc w:val="left"/>
        <w:rPr>
          <w:rFonts w:ascii="黑体" w:hAnsi="Times New Roman" w:eastAsia="黑体" w:cs="Times New Roman"/>
          <w:color w:val="auto"/>
          <w:sz w:val="32"/>
          <w:szCs w:val="32"/>
        </w:rPr>
      </w:pPr>
      <w:r>
        <w:rPr>
          <w:rFonts w:hint="eastAsia" w:ascii="黑体" w:hAnsi="Times New Roman" w:eastAsia="黑体" w:cs="Times New Roman"/>
          <w:color w:val="auto"/>
          <w:sz w:val="32"/>
          <w:szCs w:val="32"/>
        </w:rPr>
        <w:t>一、部门基本情况</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（一）部门的职能职责。长沙县妇联是县委领导下的全县各界妇女的群众团体组织，属财政全额拨款的行政单位。主要职责是：</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、围绕经济建设中心，团结、组织广大妇女投身改革开放和现代化建设，促进经济发展。</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、教育、引导广大妇女增强自尊、自信、自立、自强的精神，全面提高素质，促进妇女人才成长。</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、代表妇女参与国家和社会事务的民主管理、民主监督，维护妇女儿童合法权益。</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、协助县</w:t>
      </w:r>
      <w:r>
        <w:rPr>
          <w:rFonts w:ascii="仿宋" w:hAnsi="仿宋" w:eastAsia="仿宋" w:cs="仿宋"/>
          <w:color w:val="auto"/>
          <w:sz w:val="32"/>
          <w:szCs w:val="32"/>
        </w:rPr>
        <w:t>政府</w:t>
      </w:r>
      <w:r>
        <w:rPr>
          <w:rFonts w:hint="eastAsia" w:ascii="仿宋" w:hAnsi="仿宋" w:eastAsia="仿宋" w:cs="仿宋"/>
          <w:color w:val="auto"/>
          <w:sz w:val="32"/>
          <w:szCs w:val="32"/>
        </w:rPr>
        <w:t>制定和大力实施妇女儿童纲要，改善和优化妇女、儿童生存发展环境，推动社会全面进步。</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、发挥女性特殊作用，通过多途径，组织广大妇女开展多形式的有益活动，弘扬传统美德和高尚风格，服务社会精神文明。培育</w:t>
      </w:r>
      <w:r>
        <w:rPr>
          <w:rFonts w:ascii="仿宋" w:hAnsi="仿宋" w:eastAsia="仿宋" w:cs="仿宋"/>
          <w:color w:val="auto"/>
          <w:sz w:val="32"/>
          <w:szCs w:val="32"/>
        </w:rPr>
        <w:t>良好家风，推进</w:t>
      </w:r>
      <w:r>
        <w:rPr>
          <w:rFonts w:hint="eastAsia" w:ascii="仿宋" w:hAnsi="仿宋" w:eastAsia="仿宋" w:cs="仿宋"/>
          <w:color w:val="auto"/>
          <w:sz w:val="32"/>
          <w:szCs w:val="32"/>
        </w:rPr>
        <w:t>家庭</w:t>
      </w:r>
      <w:r>
        <w:rPr>
          <w:rFonts w:ascii="仿宋" w:hAnsi="仿宋" w:eastAsia="仿宋" w:cs="仿宋"/>
          <w:color w:val="auto"/>
          <w:sz w:val="32"/>
          <w:szCs w:val="32"/>
        </w:rPr>
        <w:t>文明建设。</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6</w:t>
      </w:r>
      <w:r>
        <w:rPr>
          <w:rFonts w:hint="eastAsia" w:ascii="仿宋" w:hAnsi="仿宋" w:eastAsia="仿宋" w:cs="仿宋"/>
          <w:color w:val="auto"/>
          <w:sz w:val="32"/>
          <w:szCs w:val="32"/>
        </w:rPr>
        <w:t>、协助县委制定和实施女干部培养和选拔规划，积极推荐、培养女干部。</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7</w:t>
      </w:r>
      <w:r>
        <w:rPr>
          <w:rFonts w:hint="eastAsia" w:ascii="仿宋" w:hAnsi="仿宋" w:eastAsia="仿宋" w:cs="仿宋"/>
          <w:color w:val="auto"/>
          <w:sz w:val="32"/>
          <w:szCs w:val="32"/>
        </w:rPr>
        <w:t>、负责</w:t>
      </w:r>
      <w:r>
        <w:rPr>
          <w:rFonts w:ascii="仿宋" w:hAnsi="仿宋" w:eastAsia="仿宋" w:cs="仿宋"/>
          <w:color w:val="auto"/>
          <w:sz w:val="32"/>
          <w:szCs w:val="32"/>
        </w:rPr>
        <w:t>妇联网络和新媒体工作以及网络舆论引导工作的指导创新。</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8</w:t>
      </w:r>
      <w:r>
        <w:rPr>
          <w:rFonts w:hint="eastAsia" w:ascii="仿宋" w:hAnsi="仿宋" w:eastAsia="仿宋" w:cs="仿宋"/>
          <w:color w:val="auto"/>
          <w:sz w:val="32"/>
          <w:szCs w:val="32"/>
        </w:rPr>
        <w:t>、负责</w:t>
      </w:r>
      <w:r>
        <w:rPr>
          <w:rFonts w:ascii="仿宋" w:hAnsi="仿宋" w:eastAsia="仿宋" w:cs="仿宋"/>
          <w:color w:val="auto"/>
          <w:sz w:val="32"/>
          <w:szCs w:val="32"/>
        </w:rPr>
        <w:t>指导、推进妇联基层组织建设和引导服务女性社会组织建设。</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9、完成县委、县政府交办的其他任务。</w:t>
      </w:r>
    </w:p>
    <w:p>
      <w:pPr>
        <w:spacing w:line="560" w:lineRule="exact"/>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（二）部门的年度预算绩效目标。</w:t>
      </w:r>
    </w:p>
    <w:p>
      <w:pPr>
        <w:ind w:firstLine="640" w:firstLineChars="200"/>
        <w:jc w:val="left"/>
        <w:rPr>
          <w:rFonts w:hint="eastAsia" w:ascii="仿宋_GB2312" w:hAnsi="Times New Roman" w:eastAsia="仿宋_GB2312" w:cs="Times New Roman"/>
          <w:color w:val="auto"/>
          <w:sz w:val="32"/>
          <w:szCs w:val="32"/>
          <w:highlight w:val="yellow"/>
        </w:rPr>
      </w:pPr>
      <w:r>
        <w:rPr>
          <w:rFonts w:hint="eastAsia" w:ascii="仿宋_GB2312" w:hAnsi="Times New Roman" w:eastAsia="仿宋_GB2312" w:cs="Times New Roman"/>
          <w:color w:val="auto"/>
          <w:sz w:val="32"/>
          <w:szCs w:val="32"/>
          <w:highlight w:val="none"/>
        </w:rPr>
        <w:t>在202</w:t>
      </w:r>
      <w:r>
        <w:rPr>
          <w:rFonts w:hint="eastAsia" w:ascii="仿宋_GB2312"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年收支预算内，确保完成以下整体目标：</w:t>
      </w:r>
    </w:p>
    <w:p>
      <w:pPr>
        <w:pStyle w:val="6"/>
        <w:shd w:val="clear" w:color="auto" w:fill="FFFFFF"/>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Style w:val="9"/>
          <w:rFonts w:hint="eastAsia" w:ascii="仿宋_GB2312" w:hAnsi="仿宋_GB2312" w:eastAsia="仿宋_GB2312" w:cs="仿宋_GB2312"/>
          <w:b w:val="0"/>
          <w:color w:val="auto"/>
          <w:sz w:val="32"/>
          <w:szCs w:val="32"/>
          <w:lang w:val="en-US" w:eastAsia="zh-CN"/>
        </w:rPr>
        <w:t>1、</w:t>
      </w:r>
      <w:r>
        <w:rPr>
          <w:rStyle w:val="9"/>
          <w:rFonts w:hint="eastAsia" w:ascii="仿宋_GB2312" w:hAnsi="仿宋_GB2312" w:eastAsia="仿宋_GB2312" w:cs="仿宋_GB2312"/>
          <w:b w:val="0"/>
          <w:color w:val="auto"/>
          <w:sz w:val="32"/>
          <w:szCs w:val="32"/>
        </w:rPr>
        <w:t>聚焦思想引领唤初心。</w:t>
      </w:r>
      <w:r>
        <w:rPr>
          <w:rFonts w:hint="eastAsia" w:ascii="仿宋_GB2312" w:hAnsi="仿宋_GB2312" w:eastAsia="仿宋_GB2312" w:cs="仿宋_GB2312"/>
          <w:color w:val="auto"/>
          <w:kern w:val="2"/>
          <w:sz w:val="32"/>
          <w:szCs w:val="32"/>
        </w:rPr>
        <w:t>始终将思想政治引领贯穿妇联各项工作中，以“巾帼心向党”为主题，抓好中国共产党建党100周年、“三八”国际劳动妇女节等庆祝活动，引导妇女儿童坚定不移听党话跟党走。</w:t>
      </w:r>
    </w:p>
    <w:p>
      <w:pPr>
        <w:pStyle w:val="6"/>
        <w:shd w:val="clear" w:color="auto" w:fill="FFFFFF"/>
        <w:spacing w:beforeAutospacing="0" w:afterAutospacing="0" w:line="560" w:lineRule="exact"/>
        <w:ind w:firstLine="800" w:firstLineChars="250"/>
        <w:jc w:val="both"/>
        <w:rPr>
          <w:rFonts w:ascii="仿宋_GB2312" w:hAnsi="仿宋_GB2312" w:eastAsia="仿宋_GB2312" w:cs="仿宋_GB2312"/>
          <w:color w:val="auto"/>
          <w:kern w:val="2"/>
          <w:sz w:val="32"/>
          <w:szCs w:val="32"/>
        </w:rPr>
      </w:pPr>
      <w:r>
        <w:rPr>
          <w:rStyle w:val="9"/>
          <w:rFonts w:hint="eastAsia" w:ascii="仿宋_GB2312" w:hAnsi="仿宋_GB2312" w:eastAsia="仿宋_GB2312" w:cs="仿宋_GB2312"/>
          <w:b w:val="0"/>
          <w:color w:val="auto"/>
          <w:sz w:val="32"/>
          <w:szCs w:val="32"/>
          <w:lang w:val="en-US" w:eastAsia="zh-CN"/>
        </w:rPr>
        <w:t>2、</w:t>
      </w:r>
      <w:r>
        <w:rPr>
          <w:rStyle w:val="9"/>
          <w:rFonts w:hint="eastAsia" w:ascii="仿宋_GB2312" w:hAnsi="仿宋_GB2312" w:eastAsia="仿宋_GB2312" w:cs="仿宋_GB2312"/>
          <w:b w:val="0"/>
          <w:color w:val="auto"/>
          <w:sz w:val="32"/>
          <w:szCs w:val="32"/>
        </w:rPr>
        <w:t>聚焦工作大局筑同心。</w:t>
      </w:r>
      <w:r>
        <w:rPr>
          <w:rFonts w:hint="eastAsia" w:ascii="仿宋_GB2312" w:hAnsi="仿宋_GB2312" w:eastAsia="仿宋_GB2312" w:cs="仿宋_GB2312"/>
          <w:color w:val="auto"/>
          <w:kern w:val="2"/>
          <w:sz w:val="32"/>
          <w:szCs w:val="32"/>
        </w:rPr>
        <w:t>紧扣“聚焦高质量，星沙在行动”主线，</w:t>
      </w:r>
      <w:r>
        <w:rPr>
          <w:rFonts w:ascii="仿宋_GB2312" w:hAnsi="仿宋_GB2312" w:eastAsia="仿宋_GB2312" w:cs="仿宋_GB2312"/>
          <w:color w:val="auto"/>
          <w:kern w:val="2"/>
          <w:sz w:val="32"/>
          <w:szCs w:val="32"/>
        </w:rPr>
        <w:t>实施“家政培训提升行动”，引领妇女在</w:t>
      </w:r>
      <w:r>
        <w:rPr>
          <w:rFonts w:hint="eastAsia" w:ascii="仿宋_GB2312" w:hAnsi="仿宋_GB2312" w:eastAsia="仿宋_GB2312" w:cs="仿宋_GB2312"/>
          <w:color w:val="auto"/>
          <w:kern w:val="2"/>
          <w:sz w:val="32"/>
          <w:szCs w:val="32"/>
        </w:rPr>
        <w:t>女红</w:t>
      </w:r>
      <w:r>
        <w:rPr>
          <w:rFonts w:ascii="仿宋_GB2312" w:hAnsi="仿宋_GB2312" w:eastAsia="仿宋_GB2312" w:cs="仿宋_GB2312"/>
          <w:color w:val="auto"/>
          <w:kern w:val="2"/>
          <w:sz w:val="32"/>
          <w:szCs w:val="32"/>
        </w:rPr>
        <w:t>、家政领域实现就业增收</w:t>
      </w:r>
      <w:r>
        <w:rPr>
          <w:rFonts w:hint="eastAsia" w:ascii="仿宋_GB2312" w:hAnsi="仿宋_GB2312" w:eastAsia="仿宋_GB2312" w:cs="仿宋_GB2312"/>
          <w:color w:val="auto"/>
          <w:kern w:val="2"/>
          <w:sz w:val="32"/>
          <w:szCs w:val="32"/>
        </w:rPr>
        <w:t>；</w:t>
      </w:r>
      <w:r>
        <w:rPr>
          <w:rFonts w:ascii="仿宋_GB2312" w:hAnsi="仿宋_GB2312" w:eastAsia="仿宋_GB2312" w:cs="仿宋_GB2312"/>
          <w:color w:val="auto"/>
          <w:kern w:val="2"/>
          <w:sz w:val="32"/>
          <w:szCs w:val="32"/>
        </w:rPr>
        <w:t>深化</w:t>
      </w:r>
      <w:r>
        <w:rPr>
          <w:rFonts w:hint="eastAsia" w:ascii="仿宋_GB2312" w:hAnsi="仿宋_GB2312" w:eastAsia="仿宋_GB2312" w:cs="仿宋_GB2312"/>
          <w:color w:val="auto"/>
          <w:kern w:val="2"/>
          <w:sz w:val="32"/>
          <w:szCs w:val="32"/>
        </w:rPr>
        <w:t>“</w:t>
      </w:r>
      <w:r>
        <w:rPr>
          <w:rFonts w:ascii="仿宋_GB2312" w:hAnsi="仿宋_GB2312" w:eastAsia="仿宋_GB2312" w:cs="仿宋_GB2312"/>
          <w:color w:val="auto"/>
          <w:kern w:val="2"/>
          <w:sz w:val="32"/>
          <w:szCs w:val="32"/>
        </w:rPr>
        <w:t>巾帼脱贫行动</w:t>
      </w:r>
      <w:r>
        <w:rPr>
          <w:rFonts w:hint="eastAsia" w:ascii="仿宋_GB2312" w:hAnsi="仿宋_GB2312" w:eastAsia="仿宋_GB2312" w:cs="仿宋_GB2312"/>
          <w:color w:val="auto"/>
          <w:kern w:val="2"/>
          <w:sz w:val="32"/>
          <w:szCs w:val="32"/>
        </w:rPr>
        <w:t>”</w:t>
      </w:r>
      <w:r>
        <w:rPr>
          <w:rFonts w:ascii="仿宋_GB2312" w:hAnsi="仿宋_GB2312" w:eastAsia="仿宋_GB2312" w:cs="仿宋_GB2312"/>
          <w:color w:val="auto"/>
          <w:kern w:val="2"/>
          <w:sz w:val="32"/>
          <w:szCs w:val="32"/>
        </w:rPr>
        <w:t>，开展</w:t>
      </w:r>
      <w:r>
        <w:rPr>
          <w:rFonts w:hint="eastAsia" w:ascii="仿宋_GB2312" w:hAnsi="仿宋_GB2312" w:eastAsia="仿宋_GB2312" w:cs="仿宋_GB2312"/>
          <w:color w:val="auto"/>
          <w:kern w:val="2"/>
          <w:sz w:val="32"/>
          <w:szCs w:val="32"/>
        </w:rPr>
        <w:t>低收入</w:t>
      </w:r>
      <w:r>
        <w:rPr>
          <w:rFonts w:ascii="仿宋_GB2312" w:hAnsi="仿宋_GB2312" w:eastAsia="仿宋_GB2312" w:cs="仿宋_GB2312"/>
          <w:color w:val="auto"/>
          <w:kern w:val="2"/>
          <w:sz w:val="32"/>
          <w:szCs w:val="32"/>
        </w:rPr>
        <w:t>女</w:t>
      </w:r>
      <w:r>
        <w:rPr>
          <w:rFonts w:hint="eastAsia" w:ascii="仿宋_GB2312" w:hAnsi="仿宋_GB2312" w:eastAsia="仿宋_GB2312" w:cs="仿宋_GB2312"/>
          <w:color w:val="auto"/>
          <w:kern w:val="2"/>
          <w:sz w:val="32"/>
          <w:szCs w:val="32"/>
        </w:rPr>
        <w:t>性</w:t>
      </w:r>
      <w:r>
        <w:rPr>
          <w:rFonts w:ascii="仿宋_GB2312" w:hAnsi="仿宋_GB2312" w:eastAsia="仿宋_GB2312" w:cs="仿宋_GB2312"/>
          <w:color w:val="auto"/>
          <w:kern w:val="2"/>
          <w:sz w:val="32"/>
          <w:szCs w:val="32"/>
        </w:rPr>
        <w:t>技能培训，扶持发展特色产业</w:t>
      </w:r>
      <w:r>
        <w:rPr>
          <w:rFonts w:hint="eastAsia" w:ascii="仿宋_GB2312" w:hAnsi="仿宋_GB2312" w:eastAsia="仿宋_GB2312" w:cs="仿宋_GB2312"/>
          <w:color w:val="auto"/>
          <w:kern w:val="2"/>
          <w:sz w:val="32"/>
          <w:szCs w:val="32"/>
        </w:rPr>
        <w:t>；</w:t>
      </w:r>
      <w:r>
        <w:rPr>
          <w:rFonts w:ascii="仿宋_GB2312" w:hAnsi="仿宋_GB2312" w:eastAsia="仿宋_GB2312" w:cs="仿宋_GB2312"/>
          <w:color w:val="auto"/>
          <w:kern w:val="2"/>
          <w:sz w:val="32"/>
          <w:szCs w:val="32"/>
        </w:rPr>
        <w:t>推进“乡村振兴巾帼行动”</w:t>
      </w:r>
      <w:r>
        <w:rPr>
          <w:rFonts w:hint="eastAsia" w:ascii="仿宋_GB2312" w:hAnsi="仿宋_GB2312" w:eastAsia="仿宋_GB2312" w:cs="仿宋_GB2312"/>
          <w:color w:val="auto"/>
          <w:kern w:val="2"/>
          <w:sz w:val="32"/>
          <w:szCs w:val="32"/>
        </w:rPr>
        <w:t>，</w:t>
      </w:r>
      <w:r>
        <w:rPr>
          <w:rFonts w:ascii="仿宋_GB2312" w:hAnsi="仿宋_GB2312" w:eastAsia="仿宋_GB2312" w:cs="仿宋_GB2312"/>
          <w:color w:val="auto"/>
          <w:kern w:val="2"/>
          <w:sz w:val="32"/>
          <w:szCs w:val="32"/>
        </w:rPr>
        <w:t>着力技能培训、示范培育等，</w:t>
      </w:r>
      <w:r>
        <w:rPr>
          <w:rFonts w:hint="eastAsia" w:ascii="仿宋_GB2312" w:hAnsi="仿宋_GB2312" w:eastAsia="仿宋_GB2312" w:cs="仿宋_GB2312"/>
          <w:color w:val="auto"/>
          <w:kern w:val="2"/>
          <w:sz w:val="32"/>
          <w:szCs w:val="32"/>
        </w:rPr>
        <w:t>带领广大妇女为率先打造“三个高地”、建设现代化示范区贡献巾帼智慧和力量</w:t>
      </w:r>
      <w:r>
        <w:rPr>
          <w:rFonts w:ascii="仿宋_GB2312" w:hAnsi="仿宋_GB2312" w:eastAsia="仿宋_GB2312" w:cs="仿宋_GB2312"/>
          <w:color w:val="auto"/>
          <w:kern w:val="2"/>
          <w:sz w:val="32"/>
          <w:szCs w:val="32"/>
        </w:rPr>
        <w:t>。</w:t>
      </w:r>
    </w:p>
    <w:p>
      <w:pPr>
        <w:pStyle w:val="6"/>
        <w:shd w:val="clear" w:color="auto" w:fill="FFFFFF"/>
        <w:spacing w:beforeAutospacing="0" w:afterAutospacing="0" w:line="560" w:lineRule="exact"/>
        <w:ind w:firstLine="800" w:firstLineChars="250"/>
        <w:jc w:val="both"/>
        <w:rPr>
          <w:rFonts w:ascii="仿宋_GB2312" w:hAnsi="仿宋_GB2312" w:eastAsia="仿宋_GB2312" w:cs="仿宋_GB2312"/>
          <w:color w:val="auto"/>
          <w:kern w:val="2"/>
          <w:sz w:val="32"/>
          <w:szCs w:val="32"/>
        </w:rPr>
      </w:pPr>
      <w:r>
        <w:rPr>
          <w:rStyle w:val="9"/>
          <w:rFonts w:hint="eastAsia" w:ascii="仿宋_GB2312" w:hAnsi="仿宋_GB2312" w:eastAsia="仿宋_GB2312" w:cs="仿宋_GB2312"/>
          <w:b w:val="0"/>
          <w:color w:val="auto"/>
          <w:sz w:val="32"/>
          <w:szCs w:val="32"/>
          <w:lang w:val="en-US" w:eastAsia="zh-CN"/>
        </w:rPr>
        <w:t>3、</w:t>
      </w:r>
      <w:r>
        <w:rPr>
          <w:rStyle w:val="9"/>
          <w:rFonts w:hint="eastAsia" w:ascii="仿宋_GB2312" w:hAnsi="仿宋_GB2312" w:eastAsia="仿宋_GB2312" w:cs="仿宋_GB2312"/>
          <w:b w:val="0"/>
          <w:color w:val="auto"/>
          <w:sz w:val="32"/>
          <w:szCs w:val="32"/>
        </w:rPr>
        <w:t>聚焦家庭文明育美心。</w:t>
      </w:r>
      <w:r>
        <w:rPr>
          <w:rFonts w:hint="eastAsia" w:ascii="仿宋_GB2312" w:hAnsi="仿宋_GB2312" w:eastAsia="仿宋_GB2312" w:cs="仿宋_GB2312"/>
          <w:color w:val="auto"/>
          <w:kern w:val="2"/>
          <w:sz w:val="32"/>
          <w:szCs w:val="32"/>
        </w:rPr>
        <w:t>常态化开展寻找“最美家庭”等系列活动；宣传贯彻《湖南省家庭教育促进条例》，成立家庭教育讲师团，开展家庭教育公益巡讲活动；开展“好家庭、好家风、好家训”等活动，传播向上向善正能量；开展美丽乡村、五美庭院等创评活动，引领百户家庭创示范、万名妇女齐参与。</w:t>
      </w:r>
    </w:p>
    <w:p>
      <w:pPr>
        <w:pStyle w:val="6"/>
        <w:shd w:val="clear" w:color="auto" w:fill="FFFFFF"/>
        <w:spacing w:beforeAutospacing="0" w:afterAutospacing="0" w:line="560" w:lineRule="exact"/>
        <w:ind w:firstLine="800" w:firstLineChars="250"/>
        <w:jc w:val="both"/>
        <w:rPr>
          <w:rFonts w:ascii="仿宋_GB2312" w:hAnsi="仿宋_GB2312" w:eastAsia="仿宋_GB2312" w:cs="仿宋_GB2312"/>
          <w:color w:val="auto"/>
          <w:kern w:val="2"/>
          <w:sz w:val="32"/>
          <w:szCs w:val="32"/>
        </w:rPr>
      </w:pPr>
      <w:r>
        <w:rPr>
          <w:rStyle w:val="9"/>
          <w:rFonts w:hint="eastAsia" w:ascii="仿宋_GB2312" w:hAnsi="仿宋_GB2312" w:eastAsia="仿宋_GB2312" w:cs="仿宋_GB2312"/>
          <w:b w:val="0"/>
          <w:color w:val="auto"/>
          <w:sz w:val="32"/>
          <w:szCs w:val="32"/>
          <w:lang w:val="en-US" w:eastAsia="zh-CN"/>
        </w:rPr>
        <w:t>4、</w:t>
      </w:r>
      <w:r>
        <w:rPr>
          <w:rStyle w:val="9"/>
          <w:rFonts w:hint="eastAsia" w:ascii="仿宋_GB2312" w:hAnsi="仿宋_GB2312" w:eastAsia="仿宋_GB2312" w:cs="仿宋_GB2312"/>
          <w:b w:val="0"/>
          <w:color w:val="auto"/>
          <w:sz w:val="32"/>
          <w:szCs w:val="32"/>
        </w:rPr>
        <w:t>聚焦权益保障添暖心。</w:t>
      </w:r>
      <w:r>
        <w:rPr>
          <w:rFonts w:ascii="仿宋_GB2312" w:hAnsi="仿宋_GB2312" w:eastAsia="仿宋_GB2312" w:cs="仿宋_GB2312"/>
          <w:color w:val="auto"/>
          <w:kern w:val="2"/>
          <w:sz w:val="32"/>
          <w:szCs w:val="32"/>
        </w:rPr>
        <w:t>科学编制新一轮妇儿发展规划，营造</w:t>
      </w:r>
      <w:r>
        <w:rPr>
          <w:rFonts w:hint="eastAsia" w:ascii="仿宋_GB2312" w:hAnsi="仿宋_GB2312" w:eastAsia="仿宋_GB2312" w:cs="仿宋_GB2312"/>
          <w:color w:val="auto"/>
          <w:kern w:val="2"/>
          <w:sz w:val="32"/>
          <w:szCs w:val="32"/>
        </w:rPr>
        <w:t>良</w:t>
      </w:r>
      <w:r>
        <w:rPr>
          <w:rFonts w:ascii="仿宋_GB2312" w:hAnsi="仿宋_GB2312" w:eastAsia="仿宋_GB2312" w:cs="仿宋_GB2312"/>
          <w:color w:val="auto"/>
          <w:kern w:val="2"/>
          <w:sz w:val="32"/>
          <w:szCs w:val="32"/>
        </w:rPr>
        <w:t>好妇儿</w:t>
      </w:r>
      <w:r>
        <w:rPr>
          <w:rFonts w:hint="eastAsia" w:ascii="仿宋_GB2312" w:hAnsi="仿宋_GB2312" w:eastAsia="仿宋_GB2312" w:cs="仿宋_GB2312"/>
          <w:color w:val="auto"/>
          <w:kern w:val="2"/>
          <w:sz w:val="32"/>
          <w:szCs w:val="32"/>
        </w:rPr>
        <w:t>发展</w:t>
      </w:r>
      <w:r>
        <w:rPr>
          <w:rFonts w:ascii="仿宋_GB2312" w:hAnsi="仿宋_GB2312" w:eastAsia="仿宋_GB2312" w:cs="仿宋_GB2312"/>
          <w:color w:val="auto"/>
          <w:kern w:val="2"/>
          <w:sz w:val="32"/>
          <w:szCs w:val="32"/>
        </w:rPr>
        <w:t>环境</w:t>
      </w:r>
      <w:r>
        <w:rPr>
          <w:rFonts w:hint="eastAsia" w:ascii="仿宋_GB2312" w:hAnsi="仿宋_GB2312" w:eastAsia="仿宋_GB2312" w:cs="仿宋_GB2312"/>
          <w:color w:val="auto"/>
          <w:kern w:val="2"/>
          <w:sz w:val="32"/>
          <w:szCs w:val="32"/>
        </w:rPr>
        <w:t>；完善诉前调解工作机制，做好婚姻家庭纠纷预防化解工作；做好农村适龄妇女“两癌”免费检查与救助等民生实事，不断增强妇儿的获得感、幸福感、安全感。</w:t>
      </w:r>
    </w:p>
    <w:p>
      <w:pPr>
        <w:pStyle w:val="6"/>
        <w:shd w:val="clear" w:color="auto" w:fill="FFFFFF"/>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Style w:val="9"/>
          <w:rFonts w:hint="eastAsia" w:ascii="仿宋_GB2312" w:hAnsi="仿宋_GB2312" w:eastAsia="仿宋_GB2312" w:cs="仿宋_GB2312"/>
          <w:b w:val="0"/>
          <w:bCs/>
          <w:color w:val="auto"/>
          <w:sz w:val="32"/>
          <w:szCs w:val="32"/>
          <w:lang w:val="en-US" w:eastAsia="zh-CN"/>
        </w:rPr>
        <w:t>5、</w:t>
      </w:r>
      <w:r>
        <w:rPr>
          <w:rStyle w:val="9"/>
          <w:rFonts w:hint="eastAsia" w:ascii="仿宋_GB2312" w:hAnsi="仿宋_GB2312" w:eastAsia="仿宋_GB2312" w:cs="仿宋_GB2312"/>
          <w:b w:val="0"/>
          <w:bCs/>
          <w:color w:val="auto"/>
          <w:sz w:val="32"/>
          <w:szCs w:val="32"/>
        </w:rPr>
        <w:t>聚焦自身建设增信心。</w:t>
      </w:r>
      <w:r>
        <w:rPr>
          <w:rFonts w:ascii="仿宋_GB2312" w:hAnsi="仿宋_GB2312" w:eastAsia="仿宋_GB2312" w:cs="仿宋_GB2312"/>
          <w:color w:val="auto"/>
          <w:kern w:val="2"/>
          <w:sz w:val="32"/>
          <w:szCs w:val="32"/>
        </w:rPr>
        <w:t>探索新形势下党建与妇建的结合点，</w:t>
      </w:r>
      <w:r>
        <w:rPr>
          <w:rFonts w:hint="eastAsia" w:ascii="仿宋_GB2312" w:hAnsi="仿宋_GB2312" w:eastAsia="仿宋_GB2312" w:cs="仿宋_GB2312"/>
          <w:color w:val="auto"/>
          <w:kern w:val="2"/>
          <w:sz w:val="32"/>
          <w:szCs w:val="32"/>
        </w:rPr>
        <w:t>推进妇联组织改革“破难行动”；加大“两新”领域组织建设力度</w:t>
      </w:r>
      <w:r>
        <w:rPr>
          <w:rFonts w:hint="eastAsia" w:ascii="仿宋_GB2312" w:hAnsi="仿宋" w:eastAsia="仿宋_GB2312"/>
          <w:color w:val="auto"/>
          <w:sz w:val="32"/>
          <w:szCs w:val="32"/>
        </w:rPr>
        <w:t>，扩大覆盖面；重视培养使用女干部，开展“基层妇联领头雁”计划，使妇女工作更加充满活力。</w:t>
      </w:r>
    </w:p>
    <w:p>
      <w:pPr>
        <w:spacing w:line="520" w:lineRule="exact"/>
        <w:ind w:firstLine="640" w:firstLineChars="200"/>
        <w:rPr>
          <w:rFonts w:ascii="黑体" w:hAnsi="黑体" w:eastAsia="黑体" w:cs="Times New Roman"/>
          <w:bCs/>
          <w:color w:val="auto"/>
          <w:sz w:val="32"/>
          <w:szCs w:val="32"/>
        </w:rPr>
      </w:pPr>
      <w:r>
        <w:rPr>
          <w:rFonts w:hint="eastAsia" w:ascii="黑体" w:hAnsi="黑体" w:eastAsia="黑体"/>
          <w:color w:val="auto"/>
          <w:sz w:val="32"/>
          <w:szCs w:val="32"/>
        </w:rPr>
        <w:t>二、部门整体支出管理及使用情况</w:t>
      </w:r>
    </w:p>
    <w:p>
      <w:pPr>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（一）基本支出情况</w:t>
      </w:r>
    </w:p>
    <w:p>
      <w:pPr>
        <w:pStyle w:val="6"/>
        <w:shd w:val="clear" w:color="auto" w:fill="FFFFFF"/>
        <w:spacing w:before="0" w:beforeAutospacing="0" w:after="0" w:afterAutospacing="0" w:line="390" w:lineRule="atLeast"/>
        <w:ind w:firstLine="640" w:firstLineChars="200"/>
        <w:rPr>
          <w:rFonts w:ascii="仿宋_GB2312" w:eastAsia="仿宋_GB2312"/>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年度基本支出</w:t>
      </w:r>
      <w:r>
        <w:rPr>
          <w:rFonts w:hint="eastAsia" w:ascii="仿宋_GB2312" w:eastAsia="仿宋_GB2312"/>
          <w:color w:val="auto"/>
          <w:sz w:val="32"/>
          <w:szCs w:val="32"/>
          <w:lang w:val="en-US" w:eastAsia="zh-CN"/>
        </w:rPr>
        <w:t>210.95</w:t>
      </w:r>
      <w:r>
        <w:rPr>
          <w:rFonts w:hint="eastAsia" w:ascii="仿宋_GB2312" w:eastAsia="仿宋_GB2312"/>
          <w:color w:val="auto"/>
          <w:sz w:val="32"/>
          <w:szCs w:val="32"/>
        </w:rPr>
        <w:t>万元（人员支出</w:t>
      </w:r>
      <w:r>
        <w:rPr>
          <w:rFonts w:hint="eastAsia" w:ascii="仿宋_GB2312" w:eastAsia="仿宋_GB2312"/>
          <w:color w:val="auto"/>
          <w:sz w:val="32"/>
          <w:szCs w:val="32"/>
          <w:lang w:val="en-US" w:eastAsia="zh-CN"/>
        </w:rPr>
        <w:t>183.33</w:t>
      </w:r>
      <w:r>
        <w:rPr>
          <w:rFonts w:hint="eastAsia" w:ascii="仿宋_GB2312" w:eastAsia="仿宋_GB2312"/>
          <w:color w:val="auto"/>
          <w:sz w:val="32"/>
          <w:szCs w:val="32"/>
        </w:rPr>
        <w:t>万元、公用支出</w:t>
      </w:r>
      <w:r>
        <w:rPr>
          <w:rFonts w:hint="eastAsia" w:ascii="仿宋_GB2312" w:eastAsia="仿宋_GB2312"/>
          <w:color w:val="auto"/>
          <w:sz w:val="32"/>
          <w:szCs w:val="32"/>
          <w:lang w:val="en-US" w:eastAsia="zh-CN"/>
        </w:rPr>
        <w:t>27.62</w:t>
      </w:r>
      <w:r>
        <w:rPr>
          <w:rFonts w:hint="eastAsia" w:ascii="仿宋_GB2312" w:eastAsia="仿宋_GB2312"/>
          <w:color w:val="auto"/>
          <w:sz w:val="32"/>
          <w:szCs w:val="32"/>
        </w:rPr>
        <w:t>万元），</w:t>
      </w:r>
      <w:r>
        <w:rPr>
          <w:rFonts w:hint="eastAsia" w:ascii="仿宋_GB2312" w:hAnsi="仿宋" w:eastAsia="仿宋_GB2312"/>
          <w:color w:val="auto"/>
          <w:sz w:val="32"/>
          <w:szCs w:val="32"/>
        </w:rPr>
        <w:t>是指为保障单位机构正常运转、完成日常工作任务而发生的各项支出，包括用于基本工资、津贴补贴等人员经费以及办公费、印刷费、水电费、办公设备购置等日常公用经费。</w:t>
      </w:r>
    </w:p>
    <w:p>
      <w:pPr>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（二）项目支出情况</w:t>
      </w:r>
    </w:p>
    <w:p>
      <w:pPr>
        <w:spacing w:line="560" w:lineRule="exact"/>
        <w:ind w:firstLine="640" w:firstLineChars="200"/>
        <w:rPr>
          <w:rFonts w:ascii="仿宋_GB2312" w:hAnsi="Calibri" w:eastAsia="仿宋_GB2312"/>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年度本级安排的一般性项目支出</w:t>
      </w:r>
      <w:r>
        <w:rPr>
          <w:rFonts w:hint="eastAsia" w:ascii="仿宋_GB2312" w:eastAsia="仿宋_GB2312"/>
          <w:color w:val="auto"/>
          <w:sz w:val="32"/>
          <w:szCs w:val="32"/>
          <w:lang w:val="en-US" w:eastAsia="zh-CN"/>
        </w:rPr>
        <w:t>182.60</w:t>
      </w:r>
      <w:r>
        <w:rPr>
          <w:rFonts w:hint="eastAsia" w:ascii="仿宋_GB2312" w:eastAsia="仿宋_GB2312"/>
          <w:color w:val="auto"/>
          <w:sz w:val="32"/>
          <w:szCs w:val="32"/>
        </w:rPr>
        <w:t>万元，</w:t>
      </w:r>
      <w:r>
        <w:rPr>
          <w:rFonts w:hint="eastAsia" w:ascii="仿宋_GB2312" w:hAnsi="Calibri" w:eastAsia="仿宋_GB2312" w:cs="Times New Roman"/>
          <w:color w:val="auto"/>
          <w:sz w:val="32"/>
          <w:szCs w:val="32"/>
        </w:rPr>
        <w:t>是单位</w:t>
      </w:r>
      <w:r>
        <w:rPr>
          <w:rFonts w:hint="eastAsia" w:ascii="仿宋" w:hAnsi="仿宋" w:eastAsia="仿宋" w:cs="仿宋"/>
          <w:color w:val="auto"/>
          <w:sz w:val="32"/>
          <w:szCs w:val="32"/>
        </w:rPr>
        <w:t>为完成特定行政工作任务或事业发展目标而发生的支出</w:t>
      </w:r>
      <w:r>
        <w:rPr>
          <w:rFonts w:hint="eastAsia" w:ascii="仿宋_GB2312" w:hAnsi="Calibri" w:eastAsia="仿宋_GB2312" w:cs="Times New Roman"/>
          <w:color w:val="auto"/>
          <w:sz w:val="32"/>
          <w:szCs w:val="32"/>
        </w:rPr>
        <w:t>。</w:t>
      </w:r>
      <w:r>
        <w:rPr>
          <w:rFonts w:hint="eastAsia" w:ascii="仿宋_GB2312" w:hAnsi="Calibri" w:eastAsia="仿宋_GB2312"/>
          <w:color w:val="auto"/>
          <w:sz w:val="32"/>
          <w:szCs w:val="32"/>
          <w:lang w:eastAsia="zh-CN"/>
        </w:rPr>
        <w:t>截至</w:t>
      </w:r>
      <w:bookmarkStart w:id="0" w:name="_GoBack"/>
      <w:bookmarkEnd w:id="0"/>
      <w:r>
        <w:rPr>
          <w:rFonts w:hint="eastAsia" w:ascii="仿宋_GB2312" w:hAnsi="Calibri" w:eastAsia="仿宋_GB2312"/>
          <w:color w:val="auto"/>
          <w:sz w:val="32"/>
          <w:szCs w:val="32"/>
        </w:rPr>
        <w:t>12月底，</w:t>
      </w:r>
      <w:r>
        <w:rPr>
          <w:rFonts w:hint="eastAsia" w:ascii="仿宋" w:hAnsi="仿宋" w:eastAsia="仿宋" w:cs="仿宋"/>
          <w:color w:val="auto"/>
          <w:sz w:val="32"/>
          <w:szCs w:val="32"/>
        </w:rPr>
        <w:t>镇（街道）妇联工作经费、巾帼双创示范基地</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扶持经费等</w:t>
      </w:r>
      <w:r>
        <w:rPr>
          <w:rFonts w:hint="eastAsia" w:ascii="仿宋_GB2312" w:hAnsi="Calibri" w:eastAsia="仿宋_GB2312"/>
          <w:color w:val="auto"/>
          <w:sz w:val="32"/>
          <w:szCs w:val="32"/>
        </w:rPr>
        <w:t>项目资金都及时拨付到镇（街）或社会组织。</w:t>
      </w:r>
    </w:p>
    <w:p>
      <w:pPr>
        <w:numPr>
          <w:ilvl w:val="0"/>
          <w:numId w:val="1"/>
        </w:numPr>
        <w:spacing w:line="560" w:lineRule="exact"/>
        <w:ind w:firstLine="640" w:firstLineChars="200"/>
        <w:rPr>
          <w:rFonts w:hint="eastAsia" w:ascii="仿宋_GB2312" w:hAnsi="Calibri" w:eastAsia="仿宋_GB2312"/>
          <w:color w:val="auto"/>
          <w:sz w:val="32"/>
          <w:szCs w:val="32"/>
        </w:rPr>
      </w:pPr>
      <w:r>
        <w:rPr>
          <w:rFonts w:hint="eastAsia" w:ascii="仿宋_GB2312" w:hAnsi="Calibri" w:eastAsia="仿宋_GB2312"/>
          <w:color w:val="auto"/>
          <w:sz w:val="32"/>
          <w:szCs w:val="32"/>
        </w:rPr>
        <w:t>“三公”经费使用情况</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rPr>
        <w:t>“三公”经费</w:t>
      </w:r>
      <w:r>
        <w:rPr>
          <w:rFonts w:hint="eastAsia" w:ascii="仿宋_GB2312" w:hAnsi="Calibri" w:eastAsia="仿宋_GB2312" w:cs="Times New Roman"/>
          <w:color w:val="auto"/>
          <w:sz w:val="32"/>
          <w:szCs w:val="32"/>
        </w:rPr>
        <w:t>严格按中央省市县规定</w:t>
      </w:r>
      <w:r>
        <w:rPr>
          <w:rFonts w:hint="eastAsia" w:ascii="仿宋_GB2312" w:hAnsi="宋体" w:eastAsia="仿宋_GB2312" w:cs="宋体"/>
          <w:color w:val="auto"/>
          <w:kern w:val="0"/>
          <w:sz w:val="32"/>
          <w:szCs w:val="32"/>
        </w:rPr>
        <w:t>执行</w:t>
      </w:r>
      <w:r>
        <w:rPr>
          <w:rFonts w:hint="eastAsia" w:ascii="仿宋_GB2312" w:hAnsi="Calibri" w:eastAsia="仿宋_GB2312" w:cs="Times New Roman"/>
          <w:color w:val="auto"/>
          <w:sz w:val="32"/>
          <w:szCs w:val="32"/>
        </w:rPr>
        <w:t>。</w:t>
      </w:r>
      <w:r>
        <w:rPr>
          <w:rFonts w:hint="eastAsia" w:ascii="仿宋_GB2312" w:hAnsi="Calibri" w:eastAsia="仿宋_GB2312"/>
          <w:color w:val="auto"/>
          <w:sz w:val="32"/>
          <w:szCs w:val="32"/>
        </w:rPr>
        <w:t>20</w:t>
      </w:r>
      <w:r>
        <w:rPr>
          <w:rFonts w:hint="eastAsia" w:ascii="仿宋_GB2312" w:hAnsi="Calibri" w:eastAsia="仿宋_GB2312"/>
          <w:color w:val="auto"/>
          <w:sz w:val="32"/>
          <w:szCs w:val="32"/>
          <w:lang w:val="en-US" w:eastAsia="zh-CN"/>
        </w:rPr>
        <w:t>21</w:t>
      </w:r>
      <w:r>
        <w:rPr>
          <w:rFonts w:hint="eastAsia" w:ascii="仿宋_GB2312" w:hAnsi="Calibri" w:eastAsia="仿宋_GB2312"/>
          <w:color w:val="auto"/>
          <w:sz w:val="32"/>
          <w:szCs w:val="32"/>
        </w:rPr>
        <w:t>年度部门预算安排“三公”经费</w:t>
      </w:r>
      <w:r>
        <w:rPr>
          <w:rFonts w:hint="eastAsia" w:ascii="仿宋_GB2312" w:hAnsi="仿宋" w:eastAsia="仿宋_GB2312" w:cs="Times New Roman"/>
          <w:color w:val="auto"/>
          <w:sz w:val="32"/>
          <w:szCs w:val="32"/>
        </w:rPr>
        <w:t>为</w:t>
      </w: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万元，其中，公务接待费</w:t>
      </w: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万元，</w:t>
      </w:r>
      <w:r>
        <w:rPr>
          <w:rFonts w:hint="eastAsia" w:ascii="仿宋" w:hAnsi="仿宋" w:eastAsia="仿宋" w:cs="仿宋"/>
          <w:color w:val="auto"/>
          <w:sz w:val="32"/>
          <w:szCs w:val="32"/>
          <w:highlight w:val="none"/>
        </w:rPr>
        <w:t>公务用车购置及运行费</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rPr>
        <w:t>，因公出国（境）费0万元。20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年度实际支出为</w:t>
      </w:r>
      <w:r>
        <w:rPr>
          <w:rFonts w:hint="eastAsia" w:ascii="仿宋" w:hAnsi="仿宋" w:eastAsia="仿宋" w:cs="仿宋"/>
          <w:color w:val="auto"/>
          <w:sz w:val="32"/>
          <w:szCs w:val="32"/>
          <w:lang w:val="en-US" w:eastAsia="zh-CN"/>
        </w:rPr>
        <w:t>0.87</w:t>
      </w:r>
      <w:r>
        <w:rPr>
          <w:rFonts w:hint="eastAsia" w:ascii="仿宋" w:hAnsi="仿宋" w:eastAsia="仿宋" w:cs="仿宋"/>
          <w:color w:val="auto"/>
          <w:sz w:val="32"/>
          <w:szCs w:val="32"/>
        </w:rPr>
        <w:t>万元，</w:t>
      </w:r>
      <w:r>
        <w:rPr>
          <w:rFonts w:hint="eastAsia" w:ascii="仿宋_GB2312" w:hAnsi="仿宋" w:eastAsia="仿宋_GB2312" w:cs="Times New Roman"/>
          <w:color w:val="auto"/>
          <w:sz w:val="32"/>
          <w:szCs w:val="32"/>
        </w:rPr>
        <w:t>其中，公务接待费0.</w:t>
      </w:r>
      <w:r>
        <w:rPr>
          <w:rFonts w:hint="eastAsia" w:ascii="仿宋_GB2312" w:hAnsi="仿宋" w:eastAsia="仿宋_GB2312" w:cs="Times New Roman"/>
          <w:color w:val="auto"/>
          <w:sz w:val="32"/>
          <w:szCs w:val="32"/>
          <w:lang w:val="en-US" w:eastAsia="zh-CN"/>
        </w:rPr>
        <w:t>87</w:t>
      </w:r>
      <w:r>
        <w:rPr>
          <w:rFonts w:hint="eastAsia" w:ascii="仿宋_GB2312" w:hAnsi="仿宋" w:eastAsia="仿宋_GB2312" w:cs="Times New Roman"/>
          <w:color w:val="auto"/>
          <w:sz w:val="32"/>
          <w:szCs w:val="32"/>
        </w:rPr>
        <w:t>万元，</w:t>
      </w:r>
      <w:r>
        <w:rPr>
          <w:rFonts w:hint="eastAsia" w:ascii="仿宋" w:hAnsi="仿宋" w:eastAsia="仿宋" w:cs="仿宋"/>
          <w:color w:val="auto"/>
          <w:sz w:val="32"/>
          <w:szCs w:val="32"/>
        </w:rPr>
        <w:t>公务用车购置及运行费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万元，因公出国（境）费0万元。较上年实际总支出</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rPr>
        <w:t>了</w:t>
      </w:r>
      <w:r>
        <w:rPr>
          <w:rFonts w:hint="eastAsia" w:ascii="仿宋" w:hAnsi="仿宋" w:eastAsia="仿宋" w:cs="仿宋"/>
          <w:color w:val="auto"/>
          <w:sz w:val="32"/>
          <w:szCs w:val="32"/>
          <w:lang w:val="en-US" w:eastAsia="zh-CN"/>
        </w:rPr>
        <w:t>0.37</w:t>
      </w:r>
      <w:r>
        <w:rPr>
          <w:rFonts w:hint="eastAsia" w:ascii="仿宋" w:hAnsi="仿宋" w:eastAsia="仿宋" w:cs="仿宋"/>
          <w:color w:val="auto"/>
          <w:sz w:val="32"/>
          <w:szCs w:val="32"/>
        </w:rPr>
        <w:t>万元，其中：公务接待费</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37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_GB2312" w:hAnsi="仿宋_GB2312" w:eastAsia="仿宋_GB2312" w:cs="仿宋_GB2312"/>
          <w:color w:val="auto"/>
          <w:sz w:val="32"/>
          <w:szCs w:val="32"/>
          <w:lang w:eastAsia="zh-CN"/>
        </w:rPr>
        <w:t>原因是增加了接待</w:t>
      </w:r>
      <w:r>
        <w:rPr>
          <w:rFonts w:hint="eastAsia" w:ascii="仿宋_GB2312" w:hAnsi="仿宋_GB2312" w:eastAsia="仿宋_GB2312" w:cs="仿宋_GB2312"/>
          <w:sz w:val="32"/>
          <w:szCs w:val="32"/>
        </w:rPr>
        <w:t>联合国妇女署与农发基金联合项目调研</w:t>
      </w:r>
      <w:r>
        <w:rPr>
          <w:rFonts w:hint="eastAsia" w:ascii="仿宋_GB2312" w:hAnsi="仿宋_GB2312" w:eastAsia="仿宋_GB2312" w:cs="仿宋_GB2312"/>
          <w:sz w:val="32"/>
          <w:szCs w:val="32"/>
          <w:lang w:eastAsia="zh-CN"/>
        </w:rPr>
        <w:t>费用。</w:t>
      </w: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三、部门整体支出绩效情况</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（一）自评</w:t>
      </w:r>
      <w:r>
        <w:rPr>
          <w:rFonts w:ascii="仿宋_GB2312" w:hAnsi="黑体" w:eastAsia="仿宋_GB2312"/>
          <w:color w:val="auto"/>
          <w:sz w:val="32"/>
          <w:szCs w:val="32"/>
        </w:rPr>
        <w:t>结果及得分情况</w:t>
      </w:r>
    </w:p>
    <w:p>
      <w:pPr>
        <w:spacing w:afterLines="50" w:line="360" w:lineRule="auto"/>
        <w:ind w:firstLine="640" w:firstLineChars="200"/>
        <w:jc w:val="left"/>
        <w:rPr>
          <w:rFonts w:hint="eastAsia" w:ascii="仿宋_GB2312" w:hAnsi="黑体" w:eastAsia="仿宋_GB2312"/>
          <w:color w:val="auto"/>
          <w:sz w:val="32"/>
          <w:szCs w:val="32"/>
        </w:rPr>
      </w:pPr>
      <w:r>
        <w:rPr>
          <w:rFonts w:hint="eastAsia" w:ascii="仿宋_GB2312" w:eastAsia="仿宋_GB2312"/>
          <w:color w:val="auto"/>
          <w:sz w:val="32"/>
          <w:szCs w:val="32"/>
          <w:lang w:val="en-US" w:eastAsia="zh-CN"/>
        </w:rPr>
        <w:t>结合县妇联实际情况，根据</w:t>
      </w:r>
      <w:r>
        <w:rPr>
          <w:rFonts w:hint="eastAsia" w:ascii="仿宋" w:hAnsi="仿宋" w:eastAsia="仿宋" w:cs="仿宋"/>
          <w:color w:val="auto"/>
          <w:sz w:val="32"/>
          <w:szCs w:val="32"/>
        </w:rPr>
        <w:t>部门整体支出绩效</w:t>
      </w:r>
      <w:r>
        <w:rPr>
          <w:rFonts w:hint="eastAsia" w:ascii="仿宋" w:hAnsi="仿宋" w:eastAsia="仿宋" w:cs="仿宋"/>
          <w:color w:val="auto"/>
          <w:sz w:val="32"/>
          <w:szCs w:val="32"/>
          <w:lang w:eastAsia="zh-CN"/>
        </w:rPr>
        <w:t>评价</w:t>
      </w:r>
      <w:r>
        <w:rPr>
          <w:rFonts w:hint="eastAsia" w:ascii="仿宋" w:hAnsi="仿宋" w:eastAsia="仿宋" w:cs="仿宋"/>
          <w:color w:val="auto"/>
          <w:sz w:val="32"/>
          <w:szCs w:val="32"/>
        </w:rPr>
        <w:t>指标</w:t>
      </w:r>
      <w:r>
        <w:rPr>
          <w:rFonts w:hint="eastAsia" w:ascii="仿宋" w:hAnsi="仿宋" w:eastAsia="仿宋" w:cs="仿宋"/>
          <w:color w:val="auto"/>
          <w:sz w:val="32"/>
          <w:szCs w:val="32"/>
          <w:lang w:eastAsia="zh-CN"/>
        </w:rPr>
        <w:t>体系，</w:t>
      </w:r>
      <w:r>
        <w:rPr>
          <w:rFonts w:hint="eastAsia" w:ascii="仿宋_GB2312" w:eastAsia="仿宋_GB2312"/>
          <w:color w:val="auto"/>
          <w:sz w:val="32"/>
          <w:szCs w:val="32"/>
        </w:rPr>
        <w:t>绩效</w:t>
      </w:r>
      <w:r>
        <w:rPr>
          <w:rFonts w:hint="eastAsia" w:ascii="仿宋_GB2312" w:eastAsia="仿宋_GB2312"/>
          <w:color w:val="auto"/>
          <w:sz w:val="32"/>
          <w:szCs w:val="32"/>
          <w:lang w:eastAsia="zh-CN"/>
        </w:rPr>
        <w:t>自评指标得分为</w:t>
      </w:r>
      <w:r>
        <w:rPr>
          <w:rFonts w:hint="eastAsia" w:ascii="仿宋_GB2312" w:eastAsia="仿宋_GB2312"/>
          <w:color w:val="auto"/>
          <w:sz w:val="32"/>
          <w:szCs w:val="32"/>
          <w:lang w:val="en-US" w:eastAsia="zh-CN"/>
        </w:rPr>
        <w:t>97分，支出绩效为“优”。</w:t>
      </w:r>
    </w:p>
    <w:p>
      <w:pPr>
        <w:numPr>
          <w:ilvl w:val="0"/>
          <w:numId w:val="2"/>
        </w:numPr>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预算配置评价</w:t>
      </w:r>
    </w:p>
    <w:p>
      <w:pPr>
        <w:numPr>
          <w:ilvl w:val="0"/>
          <w:numId w:val="0"/>
        </w:numPr>
        <w:ind w:firstLine="640" w:firstLineChars="200"/>
        <w:jc w:val="left"/>
        <w:rPr>
          <w:rFonts w:hint="eastAsia" w:ascii="仿宋_GB2312" w:eastAsia="仿宋_GB2312"/>
          <w:color w:val="auto"/>
          <w:sz w:val="32"/>
          <w:szCs w:val="32"/>
          <w:lang w:val="en-US" w:eastAsia="zh-CN"/>
        </w:rPr>
      </w:pPr>
      <w:r>
        <w:rPr>
          <w:rFonts w:hint="eastAsia" w:ascii="仿宋_GB2312" w:eastAsia="仿宋_GB2312"/>
          <w:color w:val="auto"/>
          <w:sz w:val="32"/>
          <w:szCs w:val="32"/>
        </w:rPr>
        <w:t>在职人员进行了严格控制</w:t>
      </w:r>
      <w:r>
        <w:rPr>
          <w:rFonts w:hint="eastAsia" w:ascii="仿宋_GB2312" w:eastAsia="仿宋_GB2312"/>
          <w:color w:val="auto"/>
          <w:sz w:val="32"/>
          <w:szCs w:val="32"/>
          <w:lang w:eastAsia="zh-CN"/>
        </w:rPr>
        <w:t>，</w:t>
      </w:r>
      <w:r>
        <w:rPr>
          <w:rFonts w:hint="eastAsia" w:ascii="仿宋_GB2312" w:eastAsia="仿宋_GB2312"/>
          <w:color w:val="auto"/>
          <w:sz w:val="32"/>
          <w:szCs w:val="32"/>
        </w:rPr>
        <w:t>“三公经费”变动率</w:t>
      </w:r>
      <w:r>
        <w:rPr>
          <w:rFonts w:hint="eastAsia" w:ascii="仿宋_GB2312" w:eastAsia="仿宋_GB2312"/>
          <w:color w:val="auto"/>
          <w:sz w:val="32"/>
          <w:szCs w:val="32"/>
          <w:lang w:eastAsia="zh-CN"/>
        </w:rPr>
        <w:t>小于</w:t>
      </w:r>
      <w:r>
        <w:rPr>
          <w:rFonts w:hint="eastAsia" w:ascii="仿宋_GB2312" w:eastAsia="仿宋_GB2312"/>
          <w:color w:val="auto"/>
          <w:sz w:val="32"/>
          <w:szCs w:val="32"/>
          <w:lang w:val="en-US" w:eastAsia="zh-CN"/>
        </w:rPr>
        <w:t>0。</w:t>
      </w:r>
    </w:p>
    <w:p>
      <w:pPr>
        <w:numPr>
          <w:ilvl w:val="0"/>
          <w:numId w:val="2"/>
        </w:numPr>
        <w:ind w:left="0" w:leftChars="0"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预算执行评价</w:t>
      </w:r>
    </w:p>
    <w:p>
      <w:pPr>
        <w:ind w:firstLine="640" w:firstLineChars="200"/>
        <w:jc w:val="left"/>
        <w:rPr>
          <w:rFonts w:ascii="仿宋_GB2312" w:hAnsi="仿宋" w:eastAsia="仿宋_GB2312"/>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年度预算</w:t>
      </w:r>
      <w:r>
        <w:rPr>
          <w:rFonts w:hint="eastAsia" w:ascii="仿宋_GB2312" w:eastAsia="仿宋_GB2312"/>
          <w:color w:val="auto"/>
          <w:sz w:val="32"/>
          <w:szCs w:val="32"/>
          <w:lang w:eastAsia="zh-CN"/>
        </w:rPr>
        <w:t>率、</w:t>
      </w:r>
      <w:r>
        <w:rPr>
          <w:rFonts w:hint="eastAsia" w:ascii="仿宋_GB2312" w:eastAsia="仿宋_GB2312"/>
          <w:color w:val="auto"/>
          <w:sz w:val="32"/>
          <w:szCs w:val="32"/>
        </w:rPr>
        <w:t>完成率</w:t>
      </w:r>
      <w:r>
        <w:rPr>
          <w:rFonts w:hint="eastAsia" w:ascii="仿宋_GB2312" w:eastAsia="仿宋_GB2312"/>
          <w:color w:val="auto"/>
          <w:sz w:val="32"/>
          <w:szCs w:val="32"/>
          <w:lang w:eastAsia="zh-CN"/>
        </w:rPr>
        <w:t>较</w:t>
      </w:r>
      <w:r>
        <w:rPr>
          <w:rFonts w:hint="eastAsia" w:ascii="仿宋_GB2312" w:eastAsia="仿宋_GB2312"/>
          <w:color w:val="auto"/>
          <w:sz w:val="32"/>
          <w:szCs w:val="32"/>
        </w:rPr>
        <w:t>高、资金支付进度及时</w:t>
      </w:r>
      <w:r>
        <w:rPr>
          <w:rFonts w:hint="eastAsia" w:ascii="仿宋_GB2312" w:eastAsia="仿宋_GB2312"/>
          <w:color w:val="auto"/>
          <w:sz w:val="32"/>
          <w:szCs w:val="32"/>
          <w:lang w:eastAsia="zh-CN"/>
        </w:rPr>
        <w:t>，镇街妇女工作经费及时拨付到位，妇女儿童事业发展经费执行率</w:t>
      </w:r>
      <w:r>
        <w:rPr>
          <w:rFonts w:hint="eastAsia" w:ascii="仿宋_GB2312" w:eastAsia="仿宋_GB2312"/>
          <w:color w:val="auto"/>
          <w:sz w:val="32"/>
          <w:szCs w:val="32"/>
          <w:lang w:val="en-US" w:eastAsia="zh-CN"/>
        </w:rPr>
        <w:t>100%</w:t>
      </w:r>
      <w:r>
        <w:rPr>
          <w:rFonts w:hint="eastAsia" w:ascii="仿宋_GB2312" w:hAnsi="仿宋" w:eastAsia="仿宋_GB2312"/>
          <w:color w:val="auto"/>
          <w:sz w:val="32"/>
          <w:szCs w:val="32"/>
        </w:rPr>
        <w:t>。</w:t>
      </w:r>
    </w:p>
    <w:p>
      <w:pPr>
        <w:numPr>
          <w:ilvl w:val="0"/>
          <w:numId w:val="2"/>
        </w:numPr>
        <w:ind w:left="0" w:leftChars="0" w:firstLine="640" w:firstLineChars="200"/>
        <w:jc w:val="left"/>
        <w:rPr>
          <w:rFonts w:hint="eastAsia" w:ascii="仿宋_GB2312" w:hAnsi="仿宋" w:eastAsia="仿宋_GB2312"/>
          <w:color w:val="auto"/>
          <w:sz w:val="32"/>
          <w:szCs w:val="32"/>
        </w:rPr>
      </w:pPr>
      <w:r>
        <w:rPr>
          <w:rFonts w:hint="eastAsia" w:ascii="仿宋_GB2312" w:hAnsi="仿宋" w:eastAsia="仿宋_GB2312"/>
          <w:color w:val="auto"/>
          <w:sz w:val="32"/>
          <w:szCs w:val="32"/>
        </w:rPr>
        <w:t>预算管理评价</w:t>
      </w:r>
    </w:p>
    <w:p>
      <w:pPr>
        <w:autoSpaceDE w:val="0"/>
        <w:autoSpaceDN w:val="0"/>
        <w:ind w:firstLine="800" w:firstLineChars="250"/>
        <w:textAlignment w:val="baseline"/>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加强预算管理，严格按照预算业务流程执行，加强预算管理的宣传指导工作，实现全员参与，全方位覆盖的预算管理体系，提高预算管理水平</w:t>
      </w:r>
      <w:r>
        <w:rPr>
          <w:rFonts w:hint="eastAsia" w:ascii="仿宋_GB2312" w:hAnsi="仿宋_GB2312" w:eastAsia="仿宋_GB2312"/>
          <w:color w:val="auto"/>
          <w:sz w:val="32"/>
          <w:szCs w:val="32"/>
          <w:lang w:eastAsia="zh-CN"/>
        </w:rPr>
        <w:t>。</w:t>
      </w:r>
      <w:r>
        <w:rPr>
          <w:rFonts w:hint="default" w:ascii="仿宋_GB2312" w:hAnsi="仿宋_GB2312" w:eastAsia="仿宋_GB2312"/>
          <w:color w:val="auto"/>
          <w:sz w:val="32"/>
          <w:szCs w:val="32"/>
        </w:rPr>
        <w:t>预决算和绩效管理信息按规定</w:t>
      </w:r>
      <w:r>
        <w:rPr>
          <w:rFonts w:hint="eastAsia" w:ascii="仿宋_GB2312" w:hAnsi="仿宋_GB2312" w:eastAsia="仿宋_GB2312"/>
          <w:color w:val="auto"/>
          <w:sz w:val="32"/>
          <w:szCs w:val="32"/>
          <w:lang w:eastAsia="zh-CN"/>
        </w:rPr>
        <w:t>做到了</w:t>
      </w:r>
      <w:r>
        <w:rPr>
          <w:rFonts w:hint="default" w:ascii="仿宋_GB2312" w:hAnsi="仿宋_GB2312" w:eastAsia="仿宋_GB2312"/>
          <w:color w:val="auto"/>
          <w:sz w:val="32"/>
          <w:szCs w:val="32"/>
        </w:rPr>
        <w:t>及时、准确、完整的公开</w:t>
      </w:r>
      <w:r>
        <w:rPr>
          <w:rFonts w:hint="eastAsia" w:ascii="仿宋_GB2312" w:hAnsi="仿宋_GB2312" w:eastAsia="仿宋_GB2312"/>
          <w:color w:val="auto"/>
          <w:sz w:val="32"/>
          <w:szCs w:val="32"/>
          <w:lang w:eastAsia="zh-CN"/>
        </w:rPr>
        <w:t>。</w:t>
      </w:r>
    </w:p>
    <w:p>
      <w:pPr>
        <w:numPr>
          <w:ilvl w:val="0"/>
          <w:numId w:val="2"/>
        </w:numPr>
        <w:ind w:left="0" w:leftChars="0"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部门</w:t>
      </w:r>
      <w:r>
        <w:rPr>
          <w:rFonts w:ascii="仿宋_GB2312" w:hAnsi="仿宋" w:eastAsia="仿宋_GB2312"/>
          <w:color w:val="auto"/>
          <w:sz w:val="32"/>
          <w:szCs w:val="32"/>
        </w:rPr>
        <w:t>项目组织实施情况</w:t>
      </w:r>
    </w:p>
    <w:p>
      <w:pPr>
        <w:autoSpaceDE w:val="0"/>
        <w:autoSpaceDN w:val="0"/>
        <w:ind w:firstLine="800" w:firstLineChars="250"/>
        <w:textAlignment w:val="baseline"/>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完善项目资金管理办法和项目管理制度。项目资金调整及支出手续完备。项目实施采取了相应的项目质量、财务检查等必需的控制措施。</w:t>
      </w:r>
    </w:p>
    <w:p>
      <w:pPr>
        <w:numPr>
          <w:ilvl w:val="0"/>
          <w:numId w:val="2"/>
        </w:numPr>
        <w:ind w:left="0" w:leftChars="0"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资</w:t>
      </w:r>
      <w:r>
        <w:rPr>
          <w:rFonts w:ascii="仿宋_GB2312" w:hAnsi="仿宋" w:eastAsia="仿宋_GB2312"/>
          <w:color w:val="auto"/>
          <w:sz w:val="32"/>
          <w:szCs w:val="32"/>
        </w:rPr>
        <w:t>产管理情况</w:t>
      </w:r>
    </w:p>
    <w:p>
      <w:pPr>
        <w:autoSpaceDE w:val="0"/>
        <w:autoSpaceDN w:val="0"/>
        <w:ind w:firstLine="800" w:firstLineChars="250"/>
        <w:textAlignment w:val="baseline"/>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eastAsia="zh-CN"/>
        </w:rPr>
        <w:t>制定了</w:t>
      </w:r>
      <w:r>
        <w:rPr>
          <w:rFonts w:hint="default" w:ascii="仿宋_GB2312" w:hAnsi="仿宋_GB2312" w:eastAsia="仿宋_GB2312"/>
          <w:color w:val="auto"/>
          <w:sz w:val="32"/>
          <w:szCs w:val="32"/>
          <w:lang w:eastAsia="zh-CN"/>
        </w:rPr>
        <w:t>合法、合规、完整</w:t>
      </w:r>
      <w:r>
        <w:rPr>
          <w:rFonts w:hint="eastAsia" w:ascii="仿宋_GB2312" w:hAnsi="仿宋_GB2312" w:eastAsia="仿宋_GB2312"/>
          <w:color w:val="auto"/>
          <w:sz w:val="32"/>
          <w:szCs w:val="32"/>
          <w:lang w:eastAsia="zh-CN"/>
        </w:rPr>
        <w:t>的</w:t>
      </w:r>
      <w:r>
        <w:rPr>
          <w:rFonts w:hint="default" w:ascii="仿宋_GB2312" w:hAnsi="仿宋_GB2312" w:eastAsia="仿宋_GB2312"/>
          <w:color w:val="auto"/>
          <w:sz w:val="32"/>
          <w:szCs w:val="32"/>
          <w:lang w:eastAsia="zh-CN"/>
        </w:rPr>
        <w:t>资产管理制</w:t>
      </w:r>
      <w:r>
        <w:rPr>
          <w:rFonts w:hint="eastAsia" w:ascii="仿宋_GB2312" w:hAnsi="仿宋_GB2312" w:eastAsia="仿宋_GB2312"/>
          <w:color w:val="auto"/>
          <w:sz w:val="32"/>
          <w:szCs w:val="32"/>
          <w:lang w:eastAsia="zh-CN"/>
        </w:rPr>
        <w:t>度，且得到有效的执行；</w:t>
      </w:r>
      <w:r>
        <w:rPr>
          <w:rFonts w:hint="default" w:ascii="仿宋_GB2312" w:hAnsi="仿宋_GB2312" w:eastAsia="仿宋_GB2312"/>
          <w:color w:val="auto"/>
          <w:sz w:val="32"/>
          <w:szCs w:val="32"/>
          <w:lang w:eastAsia="zh-CN"/>
        </w:rPr>
        <w:t>编制资产管理年度预算</w:t>
      </w:r>
      <w:r>
        <w:rPr>
          <w:rFonts w:hint="eastAsia" w:ascii="仿宋_GB2312" w:hAnsi="仿宋_GB2312" w:eastAsia="仿宋_GB2312"/>
          <w:color w:val="auto"/>
          <w:sz w:val="32"/>
          <w:szCs w:val="32"/>
          <w:lang w:eastAsia="zh-CN"/>
        </w:rPr>
        <w:t>，严格按照资产年度预算执行。</w:t>
      </w:r>
      <w:r>
        <w:rPr>
          <w:rFonts w:hint="default" w:ascii="仿宋_GB2312" w:hAnsi="仿宋_GB2312" w:eastAsia="仿宋_GB2312"/>
          <w:color w:val="auto"/>
          <w:sz w:val="32"/>
          <w:szCs w:val="32"/>
          <w:lang w:eastAsia="zh-CN"/>
        </w:rPr>
        <w:t>建</w:t>
      </w:r>
      <w:r>
        <w:rPr>
          <w:rFonts w:hint="eastAsia" w:ascii="仿宋_GB2312" w:hAnsi="仿宋_GB2312" w:eastAsia="仿宋_GB2312"/>
          <w:color w:val="auto"/>
          <w:sz w:val="32"/>
          <w:szCs w:val="32"/>
          <w:lang w:eastAsia="zh-CN"/>
        </w:rPr>
        <w:t>立了</w:t>
      </w:r>
      <w:r>
        <w:rPr>
          <w:rFonts w:hint="default" w:ascii="仿宋_GB2312" w:hAnsi="仿宋_GB2312" w:eastAsia="仿宋_GB2312"/>
          <w:color w:val="auto"/>
          <w:sz w:val="32"/>
          <w:szCs w:val="32"/>
          <w:lang w:eastAsia="zh-CN"/>
        </w:rPr>
        <w:t>固定资产台账</w:t>
      </w:r>
      <w:r>
        <w:rPr>
          <w:rFonts w:hint="eastAsia" w:ascii="仿宋_GB2312" w:hAnsi="仿宋_GB2312" w:eastAsia="仿宋_GB2312"/>
          <w:color w:val="auto"/>
          <w:sz w:val="32"/>
          <w:szCs w:val="32"/>
          <w:lang w:eastAsia="zh-CN"/>
        </w:rPr>
        <w:t>，</w:t>
      </w:r>
      <w:r>
        <w:rPr>
          <w:rFonts w:hint="default" w:ascii="仿宋_GB2312" w:hAnsi="仿宋_GB2312" w:eastAsia="仿宋_GB2312"/>
          <w:color w:val="auto"/>
          <w:sz w:val="32"/>
          <w:szCs w:val="32"/>
          <w:lang w:eastAsia="zh-CN"/>
        </w:rPr>
        <w:t>实行编码管理</w:t>
      </w:r>
      <w:r>
        <w:rPr>
          <w:rFonts w:hint="eastAsia" w:ascii="仿宋_GB2312" w:hAnsi="仿宋_GB2312" w:eastAsia="仿宋_GB2312"/>
          <w:color w:val="auto"/>
          <w:sz w:val="32"/>
          <w:szCs w:val="32"/>
          <w:lang w:eastAsia="zh-CN"/>
        </w:rPr>
        <w:t>、固定资产增减变化建立审批程序。</w:t>
      </w:r>
    </w:p>
    <w:p>
      <w:pPr>
        <w:numPr>
          <w:ilvl w:val="0"/>
          <w:numId w:val="2"/>
        </w:numPr>
        <w:autoSpaceDE w:val="0"/>
        <w:autoSpaceDN w:val="0"/>
        <w:ind w:left="0" w:leftChars="0" w:firstLine="640" w:firstLineChars="200"/>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职责履行评价</w:t>
      </w:r>
    </w:p>
    <w:p>
      <w:pPr>
        <w:autoSpaceDE w:val="0"/>
        <w:autoSpaceDN w:val="0"/>
        <w:ind w:firstLine="800" w:firstLineChars="250"/>
        <w:textAlignment w:val="baseline"/>
        <w:rPr>
          <w:rFonts w:ascii="仿宋_GB2312" w:hAnsi="仿宋" w:eastAsia="仿宋_GB2312"/>
          <w:sz w:val="32"/>
          <w:szCs w:val="32"/>
        </w:rPr>
      </w:pPr>
      <w:r>
        <w:rPr>
          <w:rFonts w:hint="eastAsia" w:ascii="仿宋_GB2312" w:hAnsi="仿宋" w:eastAsia="仿宋_GB2312"/>
          <w:sz w:val="32"/>
          <w:szCs w:val="32"/>
        </w:rPr>
        <w:t>到镇（街）或社会组织的项目严格按相关规定拨付</w:t>
      </w:r>
      <w:r>
        <w:rPr>
          <w:rFonts w:hint="eastAsia" w:ascii="仿宋_GB2312" w:hAnsi="仿宋" w:eastAsia="仿宋_GB2312"/>
          <w:sz w:val="32"/>
          <w:szCs w:val="32"/>
          <w:lang w:eastAsia="zh-CN"/>
        </w:rPr>
        <w:t>到位</w:t>
      </w:r>
      <w:r>
        <w:rPr>
          <w:rFonts w:hint="eastAsia" w:ascii="仿宋_GB2312" w:hAnsi="仿宋" w:eastAsia="仿宋_GB2312"/>
          <w:sz w:val="32"/>
          <w:szCs w:val="32"/>
        </w:rPr>
        <w:t>。</w:t>
      </w:r>
    </w:p>
    <w:p>
      <w:pPr>
        <w:numPr>
          <w:ilvl w:val="0"/>
          <w:numId w:val="2"/>
        </w:numPr>
        <w:autoSpaceDE w:val="0"/>
        <w:autoSpaceDN w:val="0"/>
        <w:ind w:left="0" w:leftChars="0"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履职效益评价</w:t>
      </w:r>
    </w:p>
    <w:p>
      <w:pPr>
        <w:pStyle w:val="3"/>
        <w:spacing w:before="0" w:beforeAutospacing="0" w:after="0" w:afterAutospacing="0" w:line="560" w:lineRule="exact"/>
        <w:ind w:firstLine="640" w:firstLineChars="200"/>
        <w:rPr>
          <w:rFonts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、立足时代“新要求”，思想政治引领有声有色。</w:t>
      </w:r>
      <w:r>
        <w:rPr>
          <w:rFonts w:hint="eastAsia" w:ascii="仿宋_GB2312" w:hAnsi="仿宋_GB2312" w:eastAsia="仿宋_GB2312" w:cs="仿宋_GB2312"/>
          <w:b w:val="0"/>
          <w:bCs w:val="0"/>
          <w:color w:val="auto"/>
          <w:kern w:val="0"/>
          <w:sz w:val="32"/>
          <w:szCs w:val="32"/>
        </w:rPr>
        <w:t>以“巾帼心向党 奋斗新征程”为主题，组织开展“百千万巾帼大宣讲”235场次</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组织“三八”趣味寻宝活动</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“玫瑰飘香 因您而浓”鲜花派送</w:t>
      </w:r>
      <w:r>
        <w:rPr>
          <w:rFonts w:hint="eastAsia" w:ascii="仿宋_GB2312" w:hAnsi="仿宋_GB2312" w:eastAsia="仿宋_GB2312" w:cs="仿宋_GB2312"/>
          <w:b w:val="0"/>
          <w:bCs w:val="0"/>
          <w:color w:val="auto"/>
          <w:kern w:val="0"/>
          <w:sz w:val="32"/>
          <w:szCs w:val="32"/>
          <w:lang w:eastAsia="zh-CN"/>
        </w:rPr>
        <w:t>活动，</w:t>
      </w:r>
      <w:r>
        <w:rPr>
          <w:rFonts w:hint="eastAsia" w:ascii="仿宋_GB2312" w:hAnsi="仿宋_GB2312" w:eastAsia="仿宋_GB2312" w:cs="仿宋_GB2312"/>
          <w:b w:val="0"/>
          <w:bCs w:val="0"/>
          <w:color w:val="auto"/>
          <w:kern w:val="0"/>
          <w:sz w:val="32"/>
          <w:szCs w:val="32"/>
        </w:rPr>
        <w:t>推出原创短视频《你努力的样子，真美》</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举办第二届机关女职工气排球赛，开展“巾帼学党史 她声颂党恩”党史知识竞赛，组织“童心向党庆六一  红色精神永传承”主题活</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拍摄“致敬我的党—有话向党说”视频，献礼党的百年华诞</w:t>
      </w:r>
      <w:r>
        <w:rPr>
          <w:rFonts w:hint="eastAsia" w:ascii="仿宋_GB2312" w:hAnsi="仿宋_GB2312" w:eastAsia="仿宋_GB2312" w:cs="仿宋_GB2312"/>
          <w:bCs w:val="0"/>
          <w:color w:val="auto"/>
          <w:kern w:val="0"/>
          <w:sz w:val="32"/>
          <w:szCs w:val="32"/>
        </w:rPr>
        <w:t>。</w:t>
      </w:r>
    </w:p>
    <w:p>
      <w:pPr>
        <w:spacing w:line="560" w:lineRule="exact"/>
        <w:ind w:firstLine="601"/>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36"/>
          <w:sz w:val="32"/>
          <w:szCs w:val="32"/>
          <w:lang w:val="en-US" w:eastAsia="zh-CN"/>
        </w:rPr>
        <w:t>2</w:t>
      </w:r>
      <w:r>
        <w:rPr>
          <w:rFonts w:hint="eastAsia" w:ascii="仿宋_GB2312" w:hAnsi="仿宋_GB2312" w:eastAsia="仿宋_GB2312" w:cs="仿宋_GB2312"/>
          <w:color w:val="auto"/>
          <w:kern w:val="36"/>
          <w:sz w:val="32"/>
          <w:szCs w:val="32"/>
        </w:rPr>
        <w:t>、立足妇联“最擅长”，助力女性发展建功有点有面。</w:t>
      </w:r>
      <w:r>
        <w:rPr>
          <w:rFonts w:hint="eastAsia" w:ascii="仿宋_GB2312" w:hAnsi="仿宋_GB2312" w:eastAsia="仿宋_GB2312" w:cs="仿宋_GB2312"/>
          <w:color w:val="auto"/>
          <w:kern w:val="0"/>
          <w:sz w:val="32"/>
          <w:szCs w:val="32"/>
        </w:rPr>
        <w:t>开展“长沙绿茶”品牌、“网商销讲力”等电商培训，开办育婴、美容、家政服务等职业技能培训23期。组织开展“绿色无毒”“垃圾分类”“文明劝导”“疫情防控”等巾帼志愿活动，全县217支巾帼志愿服务分队1万多名女性参加服务726场次。全县8家基地获评县级巾帼现代农业科技示范基地、巾帼双创示范基地。引领农村妇女积极参与“美丽庭院”创建活动，以家庭小美促进乡村大美。</w:t>
      </w:r>
    </w:p>
    <w:p>
      <w:pPr>
        <w:spacing w:line="560" w:lineRule="exact"/>
        <w:ind w:firstLine="601"/>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36"/>
          <w:sz w:val="32"/>
          <w:szCs w:val="32"/>
          <w:lang w:val="en-US" w:eastAsia="zh-CN"/>
        </w:rPr>
        <w:t>3</w:t>
      </w:r>
      <w:r>
        <w:rPr>
          <w:rFonts w:hint="eastAsia" w:ascii="仿宋_GB2312" w:hAnsi="仿宋_GB2312" w:eastAsia="仿宋_GB2312" w:cs="仿宋_GB2312"/>
          <w:color w:val="auto"/>
          <w:kern w:val="36"/>
          <w:sz w:val="32"/>
          <w:szCs w:val="32"/>
        </w:rPr>
        <w:t>、立足家庭“主阵地”，推动提升全县家庭建设有</w:t>
      </w:r>
      <w:r>
        <w:rPr>
          <w:rFonts w:hint="eastAsia" w:ascii="仿宋_GB2312" w:hAnsi="仿宋_GB2312" w:eastAsia="仿宋_GB2312" w:cs="仿宋_GB2312"/>
          <w:color w:val="auto"/>
          <w:kern w:val="36"/>
          <w:sz w:val="32"/>
          <w:szCs w:val="32"/>
          <w:lang w:eastAsia="zh-CN"/>
        </w:rPr>
        <w:t>花</w:t>
      </w:r>
      <w:r>
        <w:rPr>
          <w:rFonts w:hint="eastAsia" w:ascii="仿宋_GB2312" w:hAnsi="仿宋_GB2312" w:eastAsia="仿宋_GB2312" w:cs="仿宋_GB2312"/>
          <w:color w:val="auto"/>
          <w:kern w:val="36"/>
          <w:sz w:val="32"/>
          <w:szCs w:val="32"/>
        </w:rPr>
        <w:t>有</w:t>
      </w:r>
      <w:r>
        <w:rPr>
          <w:rFonts w:hint="eastAsia" w:ascii="仿宋_GB2312" w:hAnsi="仿宋_GB2312" w:eastAsia="仿宋_GB2312" w:cs="仿宋_GB2312"/>
          <w:color w:val="auto"/>
          <w:kern w:val="36"/>
          <w:sz w:val="32"/>
          <w:szCs w:val="32"/>
          <w:lang w:eastAsia="zh-CN"/>
        </w:rPr>
        <w:t>果</w:t>
      </w:r>
      <w:r>
        <w:rPr>
          <w:rFonts w:hint="eastAsia" w:ascii="仿宋_GB2312" w:hAnsi="仿宋_GB2312" w:eastAsia="仿宋_GB2312" w:cs="仿宋_GB2312"/>
          <w:color w:val="auto"/>
          <w:kern w:val="36"/>
          <w:sz w:val="32"/>
          <w:szCs w:val="32"/>
        </w:rPr>
        <w:t>。</w:t>
      </w:r>
      <w:r>
        <w:rPr>
          <w:rFonts w:hint="eastAsia" w:ascii="仿宋_GB2312" w:hAnsi="仿宋_GB2312" w:eastAsia="仿宋_GB2312" w:cs="仿宋_GB2312"/>
          <w:color w:val="auto"/>
          <w:kern w:val="0"/>
          <w:sz w:val="32"/>
          <w:szCs w:val="32"/>
        </w:rPr>
        <w:t>开展“健康生活新风尚 幸福家庭助文明”主题活动暨《湖南省家庭教育促进条例》宣讲启动式。对108户“文明家庭”和“两型示范家庭”进行了通报。10户家庭</w:t>
      </w:r>
      <w:r>
        <w:rPr>
          <w:rFonts w:hint="eastAsia" w:ascii="仿宋_GB2312" w:hAnsi="仿宋_GB2312" w:eastAsia="仿宋_GB2312" w:cs="仿宋_GB2312"/>
          <w:color w:val="auto"/>
          <w:kern w:val="0"/>
          <w:sz w:val="32"/>
          <w:szCs w:val="32"/>
          <w:lang w:eastAsia="zh-CN"/>
        </w:rPr>
        <w:t>获</w:t>
      </w:r>
      <w:r>
        <w:rPr>
          <w:rFonts w:hint="eastAsia" w:ascii="仿宋_GB2312" w:hAnsi="仿宋_GB2312" w:eastAsia="仿宋_GB2312" w:cs="仿宋_GB2312"/>
          <w:color w:val="auto"/>
          <w:kern w:val="0"/>
          <w:sz w:val="32"/>
          <w:szCs w:val="32"/>
        </w:rPr>
        <w:t>市级最美家庭；</w:t>
      </w:r>
      <w:r>
        <w:rPr>
          <w:rFonts w:hint="eastAsia" w:ascii="仿宋_GB2312" w:hAnsi="仿宋_GB2312" w:eastAsia="仿宋_GB2312" w:cs="仿宋_GB2312"/>
          <w:color w:val="auto"/>
          <w:kern w:val="0"/>
          <w:sz w:val="32"/>
          <w:szCs w:val="32"/>
          <w:lang w:val="en-US" w:eastAsia="zh-CN"/>
        </w:rPr>
        <w:t>1户家庭获</w:t>
      </w:r>
      <w:r>
        <w:rPr>
          <w:rFonts w:hint="eastAsia" w:ascii="仿宋_GB2312" w:hAnsi="仿宋_GB2312" w:eastAsia="仿宋_GB2312" w:cs="仿宋_GB2312"/>
          <w:color w:val="auto"/>
          <w:kern w:val="0"/>
          <w:sz w:val="32"/>
          <w:szCs w:val="32"/>
        </w:rPr>
        <w:t>省级文明家庭。实现百堂公益课下基层全覆盖，受益群众达2万人以上；召开家庭教育联席会议，制定《长沙县家庭教育工作联席会议制度（试行）》。举办我们的节日﹒重阳“孝道文化节”活动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评选县级平安家庭示范户100户，开展“妈妈禁毒 守护平安”宣传活动2场次，强化婚姻调解中心功能，共接待夫妻1525对，接受调解225对，调和131对，调解率58%；接处法院诉前调解委派案卷25件，调和6件，调和率24%。开展“颂百年风华 传红色基因——书香飘万家”家庭亲子阅读活动20余场，开展手工制作、诵读比赛等综合实践活动10余场。</w:t>
      </w:r>
    </w:p>
    <w:p>
      <w:pPr>
        <w:spacing w:line="560" w:lineRule="exact"/>
        <w:ind w:firstLine="601"/>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36"/>
          <w:sz w:val="32"/>
          <w:szCs w:val="32"/>
          <w:lang w:val="en-US" w:eastAsia="zh-CN"/>
        </w:rPr>
        <w:t>4</w:t>
      </w:r>
      <w:r>
        <w:rPr>
          <w:rFonts w:hint="eastAsia" w:ascii="仿宋_GB2312" w:hAnsi="仿宋_GB2312" w:eastAsia="仿宋_GB2312" w:cs="仿宋_GB2312"/>
          <w:color w:val="auto"/>
          <w:kern w:val="36"/>
          <w:sz w:val="32"/>
          <w:szCs w:val="32"/>
        </w:rPr>
        <w:t>、立足妇女“最需要”，满足妇女儿童身心需求有力有度。</w:t>
      </w:r>
      <w:r>
        <w:rPr>
          <w:rFonts w:hint="eastAsia" w:ascii="仿宋_GB2312" w:hAnsi="仿宋_GB2312" w:eastAsia="仿宋_GB2312" w:cs="仿宋_GB2312"/>
          <w:color w:val="auto"/>
          <w:kern w:val="0"/>
          <w:sz w:val="32"/>
          <w:szCs w:val="32"/>
        </w:rPr>
        <w:t>完成</w:t>
      </w:r>
      <w:r>
        <w:rPr>
          <w:rFonts w:hint="eastAsia" w:ascii="仿宋_GB2312" w:hAnsi="仿宋_GB2312" w:eastAsia="仿宋_GB2312" w:cs="仿宋_GB2312"/>
          <w:color w:val="auto"/>
          <w:sz w:val="32"/>
          <w:szCs w:val="32"/>
        </w:rPr>
        <w:t>“十四五”</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妇女儿童发展</w:t>
      </w:r>
      <w:r>
        <w:rPr>
          <w:rFonts w:hint="eastAsia" w:ascii="仿宋_GB2312" w:hAnsi="仿宋_GB2312" w:eastAsia="仿宋_GB2312" w:cs="仿宋_GB2312"/>
          <w:color w:val="auto"/>
          <w:kern w:val="0"/>
          <w:sz w:val="32"/>
          <w:szCs w:val="32"/>
        </w:rPr>
        <w:t>规划》编制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全年共接待来信来访48起，满意率100%</w:t>
      </w:r>
      <w:r>
        <w:rPr>
          <w:rFonts w:hint="eastAsia" w:ascii="仿宋_GB2312" w:hAnsi="仿宋_GB2312" w:eastAsia="仿宋_GB2312" w:cs="仿宋_GB2312"/>
          <w:color w:val="auto"/>
          <w:kern w:val="0"/>
          <w:sz w:val="32"/>
          <w:szCs w:val="32"/>
          <w:lang w:eastAsia="zh-CN"/>
        </w:rPr>
        <w:t>，组织</w:t>
      </w:r>
      <w:r>
        <w:rPr>
          <w:rFonts w:hint="eastAsia" w:ascii="仿宋_GB2312" w:hAnsi="仿宋_GB2312" w:eastAsia="仿宋_GB2312" w:cs="仿宋_GB2312"/>
          <w:color w:val="auto"/>
          <w:kern w:val="0"/>
          <w:sz w:val="32"/>
          <w:szCs w:val="32"/>
        </w:rPr>
        <w:t>维权普法咨询台20场次，开展“民法典”宣传活动4场次，召开反家庭暴力联席会议，形成了反家庭暴力新合力。走访慰问贫困妇女儿童60户，为8名困境儿童实现“微心愿”</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为400名农村留守儿童丰富暑期生活</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kern w:val="0"/>
          <w:sz w:val="32"/>
          <w:szCs w:val="32"/>
        </w:rPr>
        <w:t>发动各级执委在“出手吧，姐姐——温暖2021”公益项目中筹资15万元，为困境母亲送去关爱</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为沅陵县、龙山县14名贫困学子捐助学费7万元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推进“两癌”免费检查，全年14432人参加筛查，为27名“两癌”患者争取全国妇联救助资金</w:t>
      </w:r>
      <w:r>
        <w:rPr>
          <w:rFonts w:hint="eastAsia" w:ascii="仿宋_GB2312" w:hAnsi="仿宋_GB2312" w:eastAsia="仿宋_GB2312" w:cs="仿宋_GB2312"/>
          <w:color w:val="auto"/>
          <w:kern w:val="0"/>
          <w:sz w:val="32"/>
          <w:szCs w:val="32"/>
          <w:lang w:eastAsia="zh-CN"/>
        </w:rPr>
        <w:t>共</w:t>
      </w:r>
      <w:r>
        <w:rPr>
          <w:rFonts w:hint="eastAsia" w:ascii="仿宋_GB2312" w:hAnsi="仿宋_GB2312" w:eastAsia="仿宋_GB2312" w:cs="仿宋_GB2312"/>
          <w:color w:val="auto"/>
          <w:kern w:val="0"/>
          <w:sz w:val="32"/>
          <w:szCs w:val="32"/>
        </w:rPr>
        <w:t>27万元。</w:t>
      </w:r>
    </w:p>
    <w:p>
      <w:pPr>
        <w:spacing w:line="560" w:lineRule="exact"/>
        <w:ind w:firstLine="640"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kern w:val="36"/>
          <w:sz w:val="32"/>
          <w:szCs w:val="32"/>
          <w:lang w:val="en-US" w:eastAsia="zh-CN"/>
        </w:rPr>
        <w:t>5</w:t>
      </w:r>
      <w:r>
        <w:rPr>
          <w:rFonts w:hint="eastAsia" w:ascii="仿宋_GB2312" w:hAnsi="仿宋_GB2312" w:eastAsia="仿宋_GB2312" w:cs="仿宋_GB2312"/>
          <w:color w:val="auto"/>
          <w:kern w:val="36"/>
          <w:sz w:val="32"/>
          <w:szCs w:val="32"/>
        </w:rPr>
        <w:t>、立足党政“最关切”，加强妇联自身建设有章有法。</w:t>
      </w:r>
      <w:r>
        <w:rPr>
          <w:rFonts w:hint="eastAsia" w:ascii="仿宋_GB2312" w:hAnsi="仿宋_GB2312" w:eastAsia="仿宋_GB2312" w:cs="仿宋_GB2312"/>
          <w:color w:val="auto"/>
          <w:kern w:val="0"/>
          <w:sz w:val="32"/>
          <w:szCs w:val="32"/>
        </w:rPr>
        <w:t>在新经济组织、新社会组织中建妇联组织50个，新增团体会员2个</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创建市县示范妇女儿童之家8个。按照“四个确保，两个力争”的工作目标,选拔出优秀女性进入村（社区）“两委”。举办“增强党性修养 提升履职能力”及女干部培训班共2期,参加人员370人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扎实开展党史学习教育和“四史”学习教育</w:t>
      </w:r>
      <w:r>
        <w:rPr>
          <w:rFonts w:hint="eastAsia" w:ascii="仿宋_GB2312" w:hAnsi="仿宋_GB2312" w:eastAsia="仿宋_GB2312" w:cs="仿宋_GB2312"/>
          <w:color w:val="auto"/>
          <w:kern w:val="0"/>
          <w:sz w:val="32"/>
          <w:szCs w:val="32"/>
          <w:lang w:eastAsia="zh-CN"/>
        </w:rPr>
        <w:t>。</w:t>
      </w:r>
    </w:p>
    <w:p>
      <w:pPr>
        <w:ind w:firstLine="640" w:firstLineChars="200"/>
        <w:rPr>
          <w:rFonts w:hint="eastAsia" w:ascii="黑体" w:hAnsi="黑体" w:eastAsia="黑体"/>
          <w:sz w:val="32"/>
          <w:szCs w:val="32"/>
        </w:rPr>
      </w:pPr>
      <w:r>
        <w:rPr>
          <w:rFonts w:hint="eastAsia" w:ascii="黑体" w:hAnsi="黑体" w:eastAsia="黑体"/>
          <w:sz w:val="32"/>
          <w:szCs w:val="32"/>
        </w:rPr>
        <w:t>四、其他需</w:t>
      </w:r>
      <w:r>
        <w:rPr>
          <w:rFonts w:ascii="黑体" w:hAnsi="黑体" w:eastAsia="黑体"/>
          <w:sz w:val="32"/>
          <w:szCs w:val="32"/>
        </w:rPr>
        <w:t>要说明的情况</w:t>
      </w:r>
    </w:p>
    <w:p>
      <w:pPr>
        <w:ind w:firstLine="645"/>
        <w:jc w:val="lef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（一）后续工作计划。</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下一步工作，将</w:t>
      </w:r>
      <w:r>
        <w:rPr>
          <w:rFonts w:hint="eastAsia" w:ascii="仿宋_GB2312" w:hAnsi="仿宋_GB2312" w:eastAsia="仿宋_GB2312" w:cs="仿宋_GB2312"/>
          <w:color w:val="auto"/>
          <w:sz w:val="32"/>
          <w:szCs w:val="32"/>
        </w:rPr>
        <w:t>立足“引领、联系、服务”</w:t>
      </w:r>
      <w:r>
        <w:rPr>
          <w:rFonts w:hint="eastAsia" w:ascii="仿宋_GB2312" w:hAnsi="仿宋_GB2312" w:eastAsia="仿宋_GB2312" w:cs="仿宋_GB2312"/>
          <w:color w:val="auto"/>
          <w:sz w:val="32"/>
          <w:szCs w:val="32"/>
          <w:lang w:eastAsia="zh-CN"/>
        </w:rPr>
        <w:t>职能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rPr>
        <w:t>从</w:t>
      </w:r>
      <w:r>
        <w:rPr>
          <w:rFonts w:hint="eastAsia" w:ascii="仿宋_GB2312" w:hAnsi="仿宋_GB2312" w:eastAsia="仿宋_GB2312" w:cs="仿宋_GB2312"/>
          <w:b w:val="0"/>
          <w:bCs w:val="0"/>
          <w:color w:val="auto"/>
          <w:sz w:val="32"/>
          <w:szCs w:val="32"/>
          <w:lang w:eastAsia="zh-CN"/>
        </w:rPr>
        <w:t>以下五</w:t>
      </w:r>
      <w:r>
        <w:rPr>
          <w:rFonts w:hint="eastAsia" w:ascii="仿宋_GB2312" w:hAnsi="仿宋_GB2312" w:eastAsia="仿宋_GB2312" w:cs="仿宋_GB2312"/>
          <w:b w:val="0"/>
          <w:bCs w:val="0"/>
          <w:color w:val="auto"/>
          <w:sz w:val="32"/>
          <w:szCs w:val="32"/>
        </w:rPr>
        <w:t>个方面抓好落实：</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b w:val="0"/>
          <w:bCs w:val="0"/>
          <w:color w:val="auto"/>
          <w:kern w:val="2"/>
          <w:sz w:val="32"/>
          <w:szCs w:val="32"/>
        </w:rPr>
        <w:t>展示“妇”的风采，</w:t>
      </w:r>
      <w:r>
        <w:rPr>
          <w:rFonts w:hint="eastAsia" w:ascii="仿宋_GB2312" w:hAnsi="仿宋_GB2312" w:eastAsia="仿宋_GB2312" w:cs="仿宋_GB2312"/>
          <w:color w:val="auto"/>
          <w:sz w:val="32"/>
          <w:szCs w:val="32"/>
        </w:rPr>
        <w:t>利用“百千万巾帼大宣讲”平台，</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线上线下宣讲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rPr>
        <w:t>引领广大妇女听党话、跟党走。</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b/>
          <w:bCs/>
          <w:color w:val="auto"/>
          <w:kern w:val="2"/>
          <w:sz w:val="32"/>
          <w:szCs w:val="32"/>
          <w:lang w:eastAsia="zh-CN"/>
        </w:rPr>
      </w:pPr>
      <w:r>
        <w:rPr>
          <w:rFonts w:hint="eastAsia" w:ascii="仿宋_GB2312" w:hAnsi="仿宋_GB2312" w:eastAsia="仿宋_GB2312" w:cs="仿宋_GB2312"/>
          <w:b w:val="0"/>
          <w:bCs w:val="0"/>
          <w:color w:val="auto"/>
          <w:kern w:val="2"/>
          <w:sz w:val="32"/>
          <w:szCs w:val="32"/>
          <w:lang w:val="en-US" w:eastAsia="zh-CN"/>
        </w:rPr>
        <w:t>2、</w:t>
      </w:r>
      <w:r>
        <w:rPr>
          <w:rFonts w:hint="eastAsia" w:ascii="仿宋_GB2312" w:hAnsi="仿宋_GB2312" w:eastAsia="仿宋_GB2312" w:cs="仿宋_GB2312"/>
          <w:b w:val="0"/>
          <w:bCs w:val="0"/>
          <w:color w:val="auto"/>
          <w:kern w:val="2"/>
          <w:sz w:val="32"/>
          <w:szCs w:val="32"/>
        </w:rPr>
        <w:t>坚持“实”的要求，</w:t>
      </w:r>
      <w:r>
        <w:rPr>
          <w:rFonts w:hint="eastAsia" w:ascii="仿宋_GB2312" w:hAnsi="仿宋_GB2312" w:eastAsia="仿宋_GB2312" w:cs="仿宋_GB2312"/>
          <w:color w:val="auto"/>
          <w:kern w:val="2"/>
          <w:sz w:val="32"/>
          <w:szCs w:val="32"/>
        </w:rPr>
        <w:t>开展“巾帼建功”行动</w:t>
      </w:r>
      <w:r>
        <w:rPr>
          <w:rFonts w:hint="eastAsia" w:ascii="仿宋_GB2312" w:hAnsi="仿宋_GB2312" w:eastAsia="仿宋_GB2312" w:cs="仿宋_GB2312"/>
          <w:b/>
          <w:bCs/>
          <w:color w:val="auto"/>
          <w:kern w:val="2"/>
          <w:sz w:val="32"/>
          <w:szCs w:val="32"/>
        </w:rPr>
        <w:t>，</w:t>
      </w:r>
      <w:r>
        <w:rPr>
          <w:rFonts w:hint="eastAsia" w:ascii="仿宋_GB2312" w:hAnsi="仿宋_GB2312" w:eastAsia="仿宋_GB2312" w:cs="仿宋_GB2312"/>
          <w:b w:val="0"/>
          <w:bCs w:val="0"/>
          <w:color w:val="auto"/>
          <w:kern w:val="2"/>
          <w:sz w:val="32"/>
          <w:szCs w:val="32"/>
        </w:rPr>
        <w:t>助力创业创新</w:t>
      </w:r>
      <w:r>
        <w:rPr>
          <w:rFonts w:hint="eastAsia" w:ascii="仿宋_GB2312" w:hAnsi="仿宋_GB2312" w:eastAsia="仿宋_GB2312" w:cs="仿宋_GB2312"/>
          <w:b w:val="0"/>
          <w:bCs w:val="0"/>
          <w:color w:val="auto"/>
          <w:kern w:val="2"/>
          <w:sz w:val="32"/>
          <w:szCs w:val="32"/>
          <w:lang w:eastAsia="zh-CN"/>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rPr>
        <w:t>3、</w:t>
      </w:r>
      <w:r>
        <w:rPr>
          <w:rFonts w:hint="eastAsia" w:ascii="仿宋_GB2312" w:hAnsi="仿宋_GB2312" w:eastAsia="仿宋_GB2312" w:cs="仿宋_GB2312"/>
          <w:b w:val="0"/>
          <w:bCs w:val="0"/>
          <w:color w:val="auto"/>
          <w:kern w:val="2"/>
          <w:sz w:val="32"/>
          <w:szCs w:val="32"/>
        </w:rPr>
        <w:t>凝聚“合”的力量，着力关心关爱</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Cs/>
          <w:color w:val="auto"/>
          <w:sz w:val="32"/>
          <w:szCs w:val="32"/>
          <w:lang w:eastAsia="zh-CN"/>
        </w:rPr>
        <w:t>落实妇女儿童</w:t>
      </w:r>
      <w:r>
        <w:rPr>
          <w:rFonts w:hint="eastAsia" w:ascii="仿宋_GB2312" w:hAnsi="仿宋_GB2312" w:eastAsia="仿宋_GB2312" w:cs="仿宋_GB2312"/>
          <w:color w:val="auto"/>
          <w:sz w:val="32"/>
          <w:szCs w:val="32"/>
        </w:rPr>
        <w:t>发展规划</w:t>
      </w:r>
      <w:r>
        <w:rPr>
          <w:rFonts w:hint="eastAsia" w:ascii="仿宋_GB2312" w:hAnsi="仿宋_GB2312" w:eastAsia="仿宋_GB2312" w:cs="仿宋_GB2312"/>
          <w:color w:val="auto"/>
          <w:sz w:val="32"/>
          <w:szCs w:val="32"/>
          <w:lang w:eastAsia="zh-CN"/>
        </w:rPr>
        <w:t>，做好婚调工作和信访维权工作以及困难妇女儿童帮扶工作。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val="0"/>
          <w:bCs w:val="0"/>
          <w:color w:val="auto"/>
          <w:kern w:val="2"/>
          <w:sz w:val="32"/>
          <w:szCs w:val="32"/>
          <w:lang w:val="en-US" w:eastAsia="zh-CN"/>
        </w:rPr>
        <w:t>4、</w:t>
      </w:r>
      <w:r>
        <w:rPr>
          <w:rFonts w:hint="eastAsia" w:ascii="仿宋_GB2312" w:hAnsi="仿宋_GB2312" w:eastAsia="仿宋_GB2312" w:cs="仿宋_GB2312"/>
          <w:b w:val="0"/>
          <w:bCs w:val="0"/>
          <w:color w:val="auto"/>
          <w:kern w:val="2"/>
          <w:sz w:val="32"/>
          <w:szCs w:val="32"/>
        </w:rPr>
        <w:t>立足“家”字文章，推进文明创建</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color w:val="auto"/>
          <w:kern w:val="2"/>
          <w:sz w:val="32"/>
          <w:szCs w:val="32"/>
        </w:rPr>
        <w:t>弘扬家庭美德 创树文明家风</w:t>
      </w:r>
      <w:r>
        <w:rPr>
          <w:rFonts w:hint="eastAsia" w:ascii="仿宋_GB2312" w:hAnsi="仿宋_GB2312" w:eastAsia="仿宋_GB2312" w:cs="仿宋_GB2312"/>
          <w:color w:val="auto"/>
          <w:kern w:val="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rPr>
      </w:pPr>
      <w:r>
        <w:rPr>
          <w:rFonts w:hint="eastAsia" w:ascii="仿宋_GB2312" w:hAnsi="仿宋_GB2312" w:eastAsia="仿宋_GB2312" w:cs="仿宋_GB2312"/>
          <w:b w:val="0"/>
          <w:bCs w:val="0"/>
          <w:color w:val="auto"/>
          <w:kern w:val="2"/>
          <w:sz w:val="32"/>
          <w:szCs w:val="32"/>
          <w:lang w:val="en-US" w:eastAsia="zh-CN"/>
        </w:rPr>
        <w:t>5、</w:t>
      </w:r>
      <w:r>
        <w:rPr>
          <w:rFonts w:hint="eastAsia" w:ascii="仿宋_GB2312" w:hAnsi="仿宋_GB2312" w:eastAsia="仿宋_GB2312" w:cs="仿宋_GB2312"/>
          <w:b w:val="0"/>
          <w:bCs w:val="0"/>
          <w:color w:val="auto"/>
          <w:kern w:val="2"/>
          <w:sz w:val="32"/>
          <w:szCs w:val="32"/>
        </w:rPr>
        <w:t>发挥“联”的优势，</w:t>
      </w:r>
      <w:r>
        <w:rPr>
          <w:rFonts w:hint="eastAsia" w:ascii="仿宋_GB2312" w:hAnsi="仿宋_GB2312" w:eastAsia="仿宋_GB2312" w:cs="仿宋_GB2312"/>
          <w:b w:val="0"/>
          <w:bCs w:val="0"/>
          <w:color w:val="auto"/>
          <w:sz w:val="32"/>
          <w:szCs w:val="32"/>
        </w:rPr>
        <w:t>夯实妇联基层基础、壮大妇联队伍、延长工作手臂、扩大妇联工作影响力。</w:t>
      </w:r>
    </w:p>
    <w:p>
      <w:pPr>
        <w:numPr>
          <w:ilvl w:val="0"/>
          <w:numId w:val="3"/>
        </w:numPr>
        <w:ind w:left="-10" w:leftChars="0" w:firstLine="640" w:firstLineChars="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改进措施。</w:t>
      </w:r>
    </w:p>
    <w:p>
      <w:pPr>
        <w:ind w:firstLine="640" w:firstLineChars="200"/>
        <w:jc w:val="left"/>
        <w:rPr>
          <w:rFonts w:hint="eastAsia" w:ascii="仿宋_GB2312" w:hAnsi="Times New Roman" w:eastAsia="仿宋_GB2312" w:cs="Times New Roman"/>
          <w:bCs/>
          <w:color w:val="auto"/>
          <w:sz w:val="32"/>
          <w:szCs w:val="32"/>
          <w:highlight w:val="none"/>
        </w:rPr>
      </w:pPr>
      <w:r>
        <w:rPr>
          <w:rFonts w:hint="eastAsia" w:ascii="仿宋_GB2312" w:hAnsi="Times New Roman" w:eastAsia="仿宋_GB2312" w:cs="Times New Roman"/>
          <w:bCs/>
          <w:color w:val="auto"/>
          <w:sz w:val="32"/>
          <w:szCs w:val="32"/>
          <w:highlight w:val="none"/>
          <w:lang w:val="en-US" w:eastAsia="zh-CN"/>
        </w:rPr>
        <w:t xml:space="preserve"> </w:t>
      </w:r>
      <w:r>
        <w:rPr>
          <w:rFonts w:hint="eastAsia" w:ascii="仿宋_GB2312" w:hAnsi="Times New Roman" w:eastAsia="仿宋_GB2312" w:cs="Times New Roman"/>
          <w:bCs/>
          <w:color w:val="auto"/>
          <w:sz w:val="32"/>
          <w:szCs w:val="32"/>
          <w:highlight w:val="none"/>
        </w:rPr>
        <w:t>1、</w:t>
      </w:r>
      <w:r>
        <w:rPr>
          <w:rFonts w:hint="eastAsia" w:ascii="仿宋_GB2312" w:hAnsi="Times New Roman" w:eastAsia="仿宋_GB2312" w:cs="Times New Roman"/>
          <w:bCs/>
          <w:color w:val="auto"/>
          <w:sz w:val="32"/>
          <w:szCs w:val="32"/>
          <w:highlight w:val="none"/>
          <w:lang w:eastAsia="zh-CN"/>
        </w:rPr>
        <w:t>科学合理做好预算编制工作，进一步</w:t>
      </w:r>
      <w:r>
        <w:rPr>
          <w:rFonts w:hint="eastAsia" w:ascii="仿宋_GB2312" w:hAnsi="Times New Roman" w:eastAsia="仿宋_GB2312" w:cs="Times New Roman"/>
          <w:bCs/>
          <w:color w:val="auto"/>
          <w:sz w:val="32"/>
          <w:szCs w:val="32"/>
          <w:highlight w:val="none"/>
        </w:rPr>
        <w:t>加强</w:t>
      </w:r>
      <w:r>
        <w:rPr>
          <w:rFonts w:hint="eastAsia" w:ascii="仿宋_GB2312" w:hAnsi="Times New Roman" w:eastAsia="仿宋_GB2312" w:cs="Times New Roman"/>
          <w:bCs/>
          <w:color w:val="auto"/>
          <w:sz w:val="32"/>
          <w:szCs w:val="32"/>
          <w:highlight w:val="none"/>
          <w:lang w:eastAsia="zh-CN"/>
        </w:rPr>
        <w:t>单位各科室的预算管理意识，加强</w:t>
      </w:r>
      <w:r>
        <w:rPr>
          <w:rFonts w:hint="eastAsia" w:ascii="仿宋_GB2312" w:hAnsi="Times New Roman" w:eastAsia="仿宋_GB2312" w:cs="Times New Roman"/>
          <w:bCs/>
          <w:color w:val="auto"/>
          <w:sz w:val="32"/>
          <w:szCs w:val="32"/>
          <w:highlight w:val="none"/>
        </w:rPr>
        <w:t>财政资金使用管理，提高财政资金使用效益。</w:t>
      </w:r>
    </w:p>
    <w:p>
      <w:pPr>
        <w:ind w:firstLine="640" w:firstLineChars="200"/>
        <w:jc w:val="left"/>
        <w:rPr>
          <w:rFonts w:hint="eastAsia" w:ascii="仿宋_GB2312" w:hAnsi="Times New Roman" w:eastAsia="仿宋_GB2312" w:cs="Times New Roman"/>
          <w:bCs/>
          <w:color w:val="auto"/>
          <w:sz w:val="32"/>
          <w:szCs w:val="32"/>
          <w:highlight w:val="none"/>
          <w:lang w:val="en-US" w:eastAsia="zh-CN"/>
        </w:rPr>
      </w:pPr>
      <w:r>
        <w:rPr>
          <w:rFonts w:hint="eastAsia" w:ascii="仿宋_GB2312" w:hAnsi="Times New Roman" w:eastAsia="仿宋_GB2312" w:cs="Times New Roman"/>
          <w:bCs/>
          <w:color w:val="auto"/>
          <w:sz w:val="32"/>
          <w:szCs w:val="32"/>
          <w:highlight w:val="none"/>
          <w:lang w:val="en-US" w:eastAsia="zh-CN"/>
        </w:rPr>
        <w:t>2、认真编制政府采购预算，强化政府采购预算执行，按要求做好政府采购工作。</w:t>
      </w:r>
    </w:p>
    <w:p>
      <w:pPr>
        <w:ind w:firstLine="640" w:firstLineChars="200"/>
        <w:jc w:val="left"/>
        <w:rPr>
          <w:rFonts w:hint="eastAsia" w:ascii="仿宋_GB2312" w:hAnsi="Times New Roman" w:eastAsia="仿宋_GB2312" w:cs="Times New Roman"/>
          <w:bCs/>
          <w:color w:val="auto"/>
          <w:sz w:val="32"/>
          <w:szCs w:val="32"/>
          <w:highlight w:val="none"/>
        </w:rPr>
      </w:pPr>
      <w:r>
        <w:rPr>
          <w:rFonts w:hint="eastAsia" w:ascii="仿宋_GB2312" w:hAnsi="Times New Roman" w:eastAsia="仿宋_GB2312" w:cs="Times New Roman"/>
          <w:bCs/>
          <w:color w:val="auto"/>
          <w:sz w:val="32"/>
          <w:szCs w:val="32"/>
          <w:highlight w:val="none"/>
          <w:lang w:val="en-US" w:eastAsia="zh-CN"/>
        </w:rPr>
        <w:t>3</w:t>
      </w:r>
      <w:r>
        <w:rPr>
          <w:rFonts w:hint="eastAsia" w:ascii="仿宋_GB2312" w:hAnsi="Times New Roman" w:eastAsia="仿宋_GB2312" w:cs="Times New Roman"/>
          <w:bCs/>
          <w:color w:val="auto"/>
          <w:sz w:val="32"/>
          <w:szCs w:val="32"/>
          <w:highlight w:val="none"/>
        </w:rPr>
        <w:t>、</w:t>
      </w:r>
      <w:r>
        <w:rPr>
          <w:rFonts w:hint="eastAsia" w:ascii="仿宋_GB2312" w:hAnsi="Times New Roman" w:eastAsia="仿宋_GB2312" w:cs="Times New Roman"/>
          <w:bCs/>
          <w:color w:val="auto"/>
          <w:sz w:val="32"/>
          <w:szCs w:val="32"/>
          <w:highlight w:val="none"/>
          <w:lang w:eastAsia="zh-CN"/>
        </w:rPr>
        <w:t>根据年初绩效考核指标及预算绩效目标，扎实推进相关工作，确保预算绩效目标按时、优质完成</w:t>
      </w:r>
      <w:r>
        <w:rPr>
          <w:rFonts w:hint="eastAsia" w:ascii="仿宋_GB2312" w:hAnsi="Times New Roman" w:eastAsia="仿宋_GB2312" w:cs="Times New Roman"/>
          <w:bCs/>
          <w:color w:val="auto"/>
          <w:sz w:val="32"/>
          <w:szCs w:val="32"/>
          <w:highlight w:val="none"/>
        </w:rPr>
        <w:t>。</w:t>
      </w:r>
    </w:p>
    <w:p>
      <w:pPr>
        <w:numPr>
          <w:ilvl w:val="0"/>
          <w:numId w:val="0"/>
        </w:numPr>
        <w:jc w:val="left"/>
        <w:rPr>
          <w:rFonts w:hint="eastAsia" w:ascii="仿宋_GB2312" w:hAnsi="Times New Roman" w:eastAsia="仿宋_GB2312" w:cs="Times New Roman"/>
          <w:color w:val="FF0000"/>
          <w:sz w:val="32"/>
          <w:szCs w:val="32"/>
          <w:highlight w:val="none"/>
          <w:lang w:val="en-US" w:eastAsia="zh-CN"/>
        </w:rPr>
      </w:pPr>
    </w:p>
    <w:p>
      <w:pPr>
        <w:jc w:val="left"/>
        <w:rPr>
          <w:rFonts w:hint="eastAsia" w:ascii="仿宋_GB2312" w:hAnsi="Times New Roman" w:eastAsia="仿宋_GB2312" w:cs="Times New Roman"/>
          <w:color w:val="FF0000"/>
          <w:sz w:val="32"/>
          <w:szCs w:val="32"/>
          <w:lang w:val="en-US" w:eastAsia="zh-CN"/>
        </w:rPr>
      </w:pPr>
      <w:r>
        <w:rPr>
          <w:rFonts w:hint="eastAsia" w:ascii="仿宋_GB2312" w:hAnsi="Times New Roman" w:eastAsia="仿宋_GB2312" w:cs="Times New Roman"/>
          <w:color w:val="FF0000"/>
          <w:sz w:val="32"/>
          <w:szCs w:val="32"/>
          <w:lang w:val="en-US" w:eastAsia="zh-CN"/>
        </w:rPr>
        <w:t xml:space="preserve">     </w:t>
      </w:r>
    </w:p>
    <w:p>
      <w:pPr>
        <w:jc w:val="left"/>
        <w:rPr>
          <w:rFonts w:hint="eastAsia" w:ascii="仿宋_GB2312" w:hAnsi="Times New Roman" w:eastAsia="仿宋_GB2312" w:cs="Times New Roman"/>
          <w:color w:val="FF0000"/>
          <w:sz w:val="32"/>
          <w:szCs w:val="32"/>
          <w:lang w:val="en-US" w:eastAsia="zh-CN"/>
        </w:rPr>
      </w:pPr>
    </w:p>
    <w:p>
      <w:pPr>
        <w:jc w:val="left"/>
        <w:rPr>
          <w:rFonts w:hint="eastAsia" w:ascii="仿宋_GB2312" w:hAnsi="Times New Roman" w:eastAsia="仿宋_GB2312" w:cs="Times New Roman"/>
          <w:color w:val="FF0000"/>
          <w:sz w:val="32"/>
          <w:szCs w:val="32"/>
          <w:lang w:val="en-US" w:eastAsia="zh-CN"/>
        </w:rPr>
      </w:pPr>
    </w:p>
    <w:p>
      <w:pPr>
        <w:jc w:val="left"/>
        <w:rPr>
          <w:rFonts w:hint="eastAsia" w:ascii="仿宋_GB2312" w:hAnsi="Times New Roman" w:eastAsia="仿宋_GB2312" w:cs="Times New Roman"/>
          <w:color w:val="FF0000"/>
          <w:sz w:val="32"/>
          <w:szCs w:val="32"/>
          <w:lang w:val="en-US" w:eastAsia="zh-CN"/>
        </w:rPr>
      </w:pPr>
    </w:p>
    <w:p>
      <w:pPr>
        <w:jc w:val="left"/>
        <w:rPr>
          <w:rFonts w:hint="eastAsia" w:ascii="仿宋_GB2312" w:hAnsi="Times New Roman" w:eastAsia="仿宋_GB2312" w:cs="Times New Roman"/>
          <w:color w:val="FF0000"/>
          <w:sz w:val="32"/>
          <w:szCs w:val="32"/>
          <w:lang w:val="en-US" w:eastAsia="zh-CN"/>
        </w:rPr>
      </w:pPr>
    </w:p>
    <w:p>
      <w:pPr>
        <w:jc w:val="left"/>
        <w:rPr>
          <w:rFonts w:hint="eastAsia" w:ascii="仿宋_GB2312" w:hAnsi="Times New Roman" w:eastAsia="仿宋_GB2312" w:cs="Times New Roman"/>
          <w:color w:val="FF0000"/>
          <w:sz w:val="32"/>
          <w:szCs w:val="32"/>
          <w:lang w:val="en-US" w:eastAsia="zh-CN"/>
        </w:rPr>
      </w:pPr>
    </w:p>
    <w:p>
      <w:pPr>
        <w:jc w:val="left"/>
        <w:rPr>
          <w:rFonts w:hint="eastAsia" w:ascii="仿宋_GB2312" w:hAnsi="Times New Roman" w:eastAsia="仿宋_GB2312" w:cs="Times New Roman"/>
          <w:color w:val="FF0000"/>
          <w:sz w:val="32"/>
          <w:szCs w:val="32"/>
          <w:lang w:val="en-US" w:eastAsia="zh-CN"/>
        </w:rPr>
      </w:pPr>
    </w:p>
    <w:p>
      <w:pPr>
        <w:jc w:val="left"/>
        <w:rPr>
          <w:rFonts w:hint="eastAsia" w:ascii="仿宋_GB2312" w:hAnsi="Times New Roman" w:eastAsia="仿宋_GB2312" w:cs="Times New Roman"/>
          <w:color w:val="FF0000"/>
          <w:sz w:val="32"/>
          <w:szCs w:val="32"/>
          <w:lang w:val="en-US" w:eastAsia="zh-CN"/>
        </w:rPr>
      </w:pPr>
    </w:p>
    <w:p>
      <w:pPr>
        <w:jc w:val="left"/>
        <w:rPr>
          <w:rFonts w:hint="eastAsia" w:ascii="仿宋_GB2312" w:hAnsi="Times New Roman" w:eastAsia="仿宋_GB2312" w:cs="Times New Roman"/>
          <w:color w:val="FF0000"/>
          <w:sz w:val="32"/>
          <w:szCs w:val="32"/>
          <w:lang w:val="en-US" w:eastAsia="zh-CN"/>
        </w:rPr>
      </w:pPr>
    </w:p>
    <w:p>
      <w:pPr>
        <w:jc w:val="left"/>
        <w:rPr>
          <w:rFonts w:hint="eastAsia" w:ascii="仿宋_GB2312" w:hAnsi="Times New Roman" w:eastAsia="仿宋_GB2312" w:cs="Times New Roman"/>
          <w:color w:val="FF0000"/>
          <w:sz w:val="32"/>
          <w:szCs w:val="32"/>
          <w:lang w:val="en-US" w:eastAsia="zh-CN"/>
        </w:rPr>
      </w:pPr>
    </w:p>
    <w:p>
      <w:pPr>
        <w:pStyle w:val="2"/>
        <w:rPr>
          <w:rFonts w:hint="eastAsia" w:ascii="仿宋_GB2312" w:hAnsi="Times New Roman" w:eastAsia="仿宋_GB2312" w:cs="Times New Roman"/>
          <w:color w:val="FF0000"/>
          <w:sz w:val="32"/>
          <w:szCs w:val="32"/>
          <w:lang w:val="en-US" w:eastAsia="zh-CN"/>
        </w:rPr>
      </w:pPr>
    </w:p>
    <w:p>
      <w:pPr>
        <w:rPr>
          <w:rFonts w:hint="eastAsia" w:ascii="仿宋_GB2312" w:hAnsi="Times New Roman" w:eastAsia="仿宋_GB2312" w:cs="Times New Roman"/>
          <w:color w:val="FF0000"/>
          <w:sz w:val="32"/>
          <w:szCs w:val="32"/>
          <w:lang w:val="en-US" w:eastAsia="zh-CN"/>
        </w:rPr>
      </w:pPr>
    </w:p>
    <w:p>
      <w:pPr>
        <w:widowControl/>
        <w:spacing w:line="60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部门整体支出绩效</w:t>
      </w:r>
      <w:r>
        <w:rPr>
          <w:rFonts w:hint="eastAsia" w:ascii="Times New Roman" w:hAnsi="Times New Roman" w:eastAsia="方正小标宋简体"/>
          <w:kern w:val="0"/>
          <w:sz w:val="44"/>
          <w:szCs w:val="44"/>
        </w:rPr>
        <w:t>自评</w:t>
      </w:r>
      <w:r>
        <w:rPr>
          <w:rFonts w:ascii="Times New Roman" w:hAnsi="Times New Roman" w:eastAsia="方正小标宋简体"/>
          <w:kern w:val="0"/>
          <w:sz w:val="44"/>
          <w:szCs w:val="44"/>
        </w:rPr>
        <w:t>基础数据表</w:t>
      </w:r>
    </w:p>
    <w:p>
      <w:pPr>
        <w:widowControl/>
        <w:spacing w:line="400" w:lineRule="exact"/>
        <w:ind w:left="91"/>
        <w:jc w:val="center"/>
        <w:rPr>
          <w:rFonts w:ascii="Times New Roman" w:hAnsi="Times New Roman"/>
          <w:kern w:val="0"/>
          <w:sz w:val="36"/>
          <w:szCs w:val="36"/>
        </w:rPr>
      </w:pPr>
    </w:p>
    <w:p>
      <w:pPr>
        <w:widowControl/>
        <w:tabs>
          <w:tab w:val="left" w:pos="3611"/>
          <w:tab w:val="left" w:pos="4791"/>
          <w:tab w:val="left" w:pos="5951"/>
          <w:tab w:val="left" w:pos="7071"/>
          <w:tab w:val="left" w:pos="8191"/>
          <w:tab w:val="left" w:pos="9311"/>
        </w:tabs>
        <w:spacing w:line="600" w:lineRule="exact"/>
        <w:ind w:left="91"/>
        <w:jc w:val="left"/>
        <w:rPr>
          <w:rFonts w:hint="default" w:ascii="Times New Roman" w:hAnsi="Times New Roman" w:eastAsia="楷体_GB2312"/>
          <w:b/>
          <w:bCs/>
          <w:kern w:val="0"/>
          <w:sz w:val="24"/>
          <w:lang w:val="en-US" w:eastAsia="zh-CN"/>
        </w:rPr>
      </w:pPr>
      <w:r>
        <w:rPr>
          <w:rFonts w:ascii="Times New Roman" w:hAnsi="Times New Roman" w:eastAsia="楷体_GB2312"/>
          <w:b/>
          <w:bCs/>
          <w:kern w:val="0"/>
          <w:sz w:val="24"/>
        </w:rPr>
        <w:t>填报单位：</w:t>
      </w:r>
      <w:r>
        <w:rPr>
          <w:rFonts w:hint="eastAsia" w:ascii="Times New Roman" w:hAnsi="Times New Roman" w:eastAsia="楷体_GB2312"/>
          <w:b/>
          <w:bCs/>
          <w:kern w:val="0"/>
          <w:sz w:val="24"/>
          <w:lang w:val="en-US" w:eastAsia="zh-CN"/>
        </w:rPr>
        <w:t>长沙县妇女联合会</w:t>
      </w:r>
    </w:p>
    <w:tbl>
      <w:tblPr>
        <w:tblStyle w:val="7"/>
        <w:tblW w:w="9450" w:type="dxa"/>
        <w:jc w:val="center"/>
        <w:tblLayout w:type="fixed"/>
        <w:tblCellMar>
          <w:top w:w="0" w:type="dxa"/>
          <w:left w:w="108" w:type="dxa"/>
          <w:bottom w:w="0" w:type="dxa"/>
          <w:right w:w="108" w:type="dxa"/>
        </w:tblCellMar>
      </w:tblPr>
      <w:tblGrid>
        <w:gridCol w:w="3077"/>
        <w:gridCol w:w="1054"/>
        <w:gridCol w:w="834"/>
        <w:gridCol w:w="1350"/>
        <w:gridCol w:w="1133"/>
        <w:gridCol w:w="935"/>
        <w:gridCol w:w="1067"/>
      </w:tblGrid>
      <w:tr>
        <w:tblPrEx>
          <w:tblCellMar>
            <w:top w:w="0" w:type="dxa"/>
            <w:left w:w="108" w:type="dxa"/>
            <w:bottom w:w="0" w:type="dxa"/>
            <w:right w:w="108" w:type="dxa"/>
          </w:tblCellMar>
        </w:tblPrEx>
        <w:trPr>
          <w:trHeight w:val="763" w:hRule="atLeast"/>
          <w:jc w:val="center"/>
        </w:trPr>
        <w:tc>
          <w:tcPr>
            <w:tcW w:w="30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eastAsia="黑体"/>
                <w:kern w:val="0"/>
                <w:sz w:val="20"/>
                <w:szCs w:val="20"/>
              </w:rPr>
              <w:t>财政供养人员情况</w:t>
            </w:r>
          </w:p>
        </w:tc>
        <w:tc>
          <w:tcPr>
            <w:tcW w:w="1888"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编制数</w:t>
            </w:r>
          </w:p>
        </w:tc>
        <w:tc>
          <w:tcPr>
            <w:tcW w:w="2483"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20</w:t>
            </w:r>
            <w:r>
              <w:rPr>
                <w:rFonts w:hint="eastAsia" w:ascii="Times New Roman" w:hAnsi="Times New Roman" w:eastAsia="黑体"/>
                <w:kern w:val="0"/>
                <w:sz w:val="20"/>
                <w:szCs w:val="20"/>
              </w:rPr>
              <w:t>2</w:t>
            </w:r>
            <w:r>
              <w:rPr>
                <w:rFonts w:hint="eastAsia" w:ascii="Times New Roman" w:hAnsi="Times New Roman" w:eastAsia="黑体"/>
                <w:kern w:val="0"/>
                <w:sz w:val="20"/>
                <w:szCs w:val="20"/>
                <w:lang w:val="en-US" w:eastAsia="zh-CN"/>
              </w:rPr>
              <w:t>1</w:t>
            </w:r>
            <w:r>
              <w:rPr>
                <w:rFonts w:ascii="Times New Roman" w:hAnsi="Times New Roman" w:eastAsia="黑体"/>
                <w:kern w:val="0"/>
                <w:sz w:val="20"/>
                <w:szCs w:val="20"/>
              </w:rPr>
              <w:t>年实际在职人数</w:t>
            </w:r>
          </w:p>
        </w:tc>
        <w:tc>
          <w:tcPr>
            <w:tcW w:w="200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控制率</w:t>
            </w:r>
          </w:p>
        </w:tc>
      </w:tr>
      <w:tr>
        <w:tblPrEx>
          <w:tblCellMar>
            <w:top w:w="0" w:type="dxa"/>
            <w:left w:w="108" w:type="dxa"/>
            <w:bottom w:w="0" w:type="dxa"/>
            <w:right w:w="108" w:type="dxa"/>
          </w:tblCellMar>
        </w:tblPrEx>
        <w:trPr>
          <w:trHeight w:val="177" w:hRule="atLeast"/>
          <w:jc w:val="center"/>
        </w:trPr>
        <w:tc>
          <w:tcPr>
            <w:tcW w:w="30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888"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00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经费控制情况</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20</w:t>
            </w:r>
            <w:r>
              <w:rPr>
                <w:rFonts w:hint="eastAsia" w:ascii="Times New Roman" w:hAnsi="Times New Roman"/>
                <w:b/>
                <w:bCs/>
                <w:kern w:val="0"/>
                <w:sz w:val="20"/>
                <w:szCs w:val="20"/>
                <w:lang w:val="en-US" w:eastAsia="zh-CN"/>
              </w:rPr>
              <w:t>20</w:t>
            </w:r>
            <w:r>
              <w:rPr>
                <w:rFonts w:ascii="Times New Roman" w:hAnsi="Times New Roman"/>
                <w:b/>
                <w:bCs/>
                <w:kern w:val="0"/>
                <w:sz w:val="20"/>
                <w:szCs w:val="20"/>
              </w:rPr>
              <w:t>年决算数</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20</w:t>
            </w:r>
            <w:r>
              <w:rPr>
                <w:rFonts w:hint="eastAsia" w:ascii="Times New Roman" w:hAnsi="Times New Roman"/>
                <w:b/>
                <w:bCs/>
                <w:kern w:val="0"/>
                <w:sz w:val="20"/>
                <w:szCs w:val="20"/>
              </w:rPr>
              <w:t>2</w:t>
            </w:r>
            <w:r>
              <w:rPr>
                <w:rFonts w:hint="eastAsia" w:ascii="Times New Roman" w:hAnsi="Times New Roman"/>
                <w:b/>
                <w:bCs/>
                <w:kern w:val="0"/>
                <w:sz w:val="20"/>
                <w:szCs w:val="20"/>
                <w:lang w:val="en-US" w:eastAsia="zh-CN"/>
              </w:rPr>
              <w:t>1</w:t>
            </w:r>
            <w:r>
              <w:rPr>
                <w:rFonts w:ascii="Times New Roman" w:hAnsi="Times New Roman"/>
                <w:b/>
                <w:bCs/>
                <w:kern w:val="0"/>
                <w:sz w:val="20"/>
                <w:szCs w:val="20"/>
              </w:rPr>
              <w:t>年预算数</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20</w:t>
            </w:r>
            <w:r>
              <w:rPr>
                <w:rFonts w:hint="eastAsia" w:ascii="Times New Roman" w:hAnsi="Times New Roman"/>
                <w:b/>
                <w:bCs/>
                <w:kern w:val="0"/>
                <w:sz w:val="20"/>
                <w:szCs w:val="20"/>
              </w:rPr>
              <w:t>2</w:t>
            </w:r>
            <w:r>
              <w:rPr>
                <w:rFonts w:hint="eastAsia" w:ascii="Times New Roman" w:hAnsi="Times New Roman"/>
                <w:b/>
                <w:bCs/>
                <w:kern w:val="0"/>
                <w:sz w:val="20"/>
                <w:szCs w:val="20"/>
                <w:lang w:val="en-US" w:eastAsia="zh-CN"/>
              </w:rPr>
              <w:t>1</w:t>
            </w:r>
            <w:r>
              <w:rPr>
                <w:rFonts w:ascii="Times New Roman" w:hAnsi="Times New Roman"/>
                <w:b/>
                <w:bCs/>
                <w:kern w:val="0"/>
                <w:sz w:val="20"/>
                <w:szCs w:val="20"/>
              </w:rPr>
              <w:t>年决算数</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三公经费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 w:val="20"/>
                <w:szCs w:val="20"/>
                <w:lang w:val="en-US" w:eastAsia="zh-CN"/>
              </w:rPr>
            </w:pPr>
            <w:r>
              <w:rPr>
                <w:rFonts w:hint="eastAsia" w:ascii="Times New Roman" w:hAnsi="Times New Roman"/>
                <w:kern w:val="0"/>
                <w:sz w:val="20"/>
                <w:szCs w:val="20"/>
                <w:lang w:val="en-US" w:eastAsia="zh-CN"/>
              </w:rPr>
              <w:t>0.5</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eastAsia="宋体"/>
                <w:kern w:val="0"/>
                <w:sz w:val="20"/>
                <w:szCs w:val="20"/>
                <w:lang w:val="en-US" w:eastAsia="zh-CN"/>
              </w:rPr>
              <w:t>1</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eastAsia="宋体"/>
                <w:kern w:val="0"/>
                <w:sz w:val="20"/>
                <w:szCs w:val="20"/>
                <w:lang w:val="en-US" w:eastAsia="zh-CN"/>
              </w:rPr>
              <w:t>0.87</w:t>
            </w:r>
          </w:p>
        </w:tc>
      </w:tr>
      <w:tr>
        <w:tblPrEx>
          <w:tblCellMar>
            <w:top w:w="0" w:type="dxa"/>
            <w:left w:w="108" w:type="dxa"/>
            <w:bottom w:w="0" w:type="dxa"/>
            <w:right w:w="108" w:type="dxa"/>
          </w:tblCellMar>
        </w:tblPrEx>
        <w:trPr>
          <w:trHeight w:val="39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1、公务用车购置和维护经费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0</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0</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0</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其中：公车购置</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0</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0</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0</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公车运行维护</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0</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0</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0</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2、出国经费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0</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0</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0</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3、公务接待</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0.5</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eastAsia="宋体"/>
                <w:kern w:val="0"/>
                <w:sz w:val="20"/>
                <w:szCs w:val="20"/>
                <w:lang w:val="en-US" w:eastAsia="zh-CN"/>
              </w:rPr>
              <w:t>1</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eastAsia="宋体"/>
                <w:kern w:val="0"/>
                <w:sz w:val="20"/>
                <w:szCs w:val="20"/>
                <w:lang w:val="en-US" w:eastAsia="zh-CN"/>
              </w:rPr>
              <w:t>0.87</w:t>
            </w:r>
          </w:p>
        </w:tc>
      </w:tr>
      <w:tr>
        <w:tblPrEx>
          <w:tblCellMar>
            <w:top w:w="0" w:type="dxa"/>
            <w:left w:w="108" w:type="dxa"/>
            <w:bottom w:w="0" w:type="dxa"/>
            <w:right w:w="108" w:type="dxa"/>
          </w:tblCellMar>
        </w:tblPrEx>
        <w:trPr>
          <w:trHeight w:val="39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项目支出：</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174.99</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eastAsia="宋体"/>
                <w:kern w:val="0"/>
                <w:sz w:val="20"/>
                <w:szCs w:val="20"/>
                <w:lang w:val="en-US" w:eastAsia="zh-CN"/>
              </w:rPr>
              <w:t>234</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182.6</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1、业务工作专项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174.99</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 w:val="20"/>
                <w:szCs w:val="20"/>
                <w:lang w:val="en-US" w:eastAsia="zh-CN"/>
              </w:rPr>
            </w:pPr>
            <w:r>
              <w:rPr>
                <w:rFonts w:hint="eastAsia" w:ascii="Times New Roman" w:hAnsi="Times New Roman"/>
                <w:kern w:val="0"/>
                <w:sz w:val="20"/>
                <w:szCs w:val="20"/>
                <w:lang w:val="en-US" w:eastAsia="zh-CN"/>
              </w:rPr>
              <w:t>234</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 w:val="20"/>
                <w:szCs w:val="20"/>
                <w:lang w:val="en-US" w:eastAsia="zh-CN"/>
              </w:rPr>
            </w:pPr>
            <w:r>
              <w:rPr>
                <w:rFonts w:hint="eastAsia" w:ascii="Times New Roman" w:hAnsi="Times New Roman"/>
                <w:kern w:val="0"/>
                <w:sz w:val="20"/>
                <w:szCs w:val="20"/>
                <w:lang w:val="en-US" w:eastAsia="zh-CN"/>
              </w:rPr>
              <w:t>182.6</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2、运行维护专项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公用经费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color w:val="auto"/>
                <w:kern w:val="0"/>
                <w:sz w:val="20"/>
                <w:szCs w:val="20"/>
                <w:lang w:val="en-US" w:eastAsia="zh-CN"/>
              </w:rPr>
              <w:t>24.99</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olor w:val="auto"/>
                <w:kern w:val="0"/>
                <w:sz w:val="20"/>
                <w:szCs w:val="20"/>
                <w:lang w:val="en-US" w:eastAsia="zh-CN"/>
              </w:rPr>
            </w:pPr>
            <w:r>
              <w:rPr>
                <w:rFonts w:hint="eastAsia" w:ascii="Times New Roman" w:hAnsi="Times New Roman" w:eastAsia="宋体"/>
                <w:color w:val="auto"/>
                <w:kern w:val="0"/>
                <w:sz w:val="20"/>
                <w:szCs w:val="20"/>
                <w:lang w:val="en-US" w:eastAsia="zh-CN"/>
              </w:rPr>
              <w:t>27.82</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olor w:val="auto"/>
                <w:kern w:val="0"/>
                <w:sz w:val="20"/>
                <w:szCs w:val="20"/>
                <w:lang w:val="en-US" w:eastAsia="zh-CN"/>
              </w:rPr>
            </w:pPr>
            <w:r>
              <w:rPr>
                <w:rFonts w:hint="eastAsia" w:ascii="Times New Roman" w:hAnsi="Times New Roman" w:eastAsia="宋体"/>
                <w:color w:val="auto"/>
                <w:kern w:val="0"/>
                <w:sz w:val="20"/>
                <w:szCs w:val="20"/>
                <w:lang w:val="en-US" w:eastAsia="zh-CN"/>
              </w:rPr>
              <w:t>27.62</w:t>
            </w:r>
          </w:p>
        </w:tc>
      </w:tr>
      <w:tr>
        <w:tblPrEx>
          <w:tblCellMar>
            <w:top w:w="0" w:type="dxa"/>
            <w:left w:w="108" w:type="dxa"/>
            <w:bottom w:w="0" w:type="dxa"/>
            <w:right w:w="108" w:type="dxa"/>
          </w:tblCellMar>
        </w:tblPrEx>
        <w:trPr>
          <w:trHeight w:val="39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其中：办公经费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olor w:val="auto"/>
                <w:kern w:val="0"/>
                <w:sz w:val="20"/>
                <w:szCs w:val="20"/>
                <w:lang w:val="en-US" w:eastAsia="zh-CN"/>
              </w:rPr>
            </w:pPr>
            <w:r>
              <w:rPr>
                <w:rFonts w:hint="eastAsia" w:ascii="Times New Roman" w:hAnsi="Times New Roman"/>
                <w:color w:val="auto"/>
                <w:kern w:val="0"/>
                <w:sz w:val="20"/>
                <w:szCs w:val="20"/>
                <w:lang w:eastAsia="zh-CN"/>
              </w:rPr>
              <w:t>—</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olor w:val="auto"/>
                <w:kern w:val="0"/>
                <w:sz w:val="20"/>
                <w:szCs w:val="20"/>
                <w:lang w:val="en-US" w:eastAsia="zh-CN"/>
              </w:rPr>
            </w:pPr>
            <w:r>
              <w:rPr>
                <w:rFonts w:hint="eastAsia" w:ascii="Times New Roman" w:hAnsi="Times New Roman"/>
                <w:color w:val="auto"/>
                <w:kern w:val="0"/>
                <w:sz w:val="20"/>
                <w:szCs w:val="20"/>
                <w:lang w:eastAsia="zh-CN"/>
              </w:rPr>
              <w:t>—</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水费、电费、差旅费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FF0000"/>
                <w:kern w:val="0"/>
                <w:sz w:val="20"/>
                <w:szCs w:val="20"/>
              </w:rPr>
            </w:pPr>
            <w:r>
              <w:rPr>
                <w:rFonts w:hint="eastAsia" w:ascii="Times New Roman" w:hAnsi="Times New Roman"/>
                <w:color w:val="auto"/>
                <w:kern w:val="0"/>
                <w:sz w:val="20"/>
                <w:szCs w:val="20"/>
                <w:lang w:eastAsia="zh-CN"/>
              </w:rPr>
              <w:t>—</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olor w:val="auto"/>
                <w:kern w:val="0"/>
                <w:sz w:val="20"/>
                <w:szCs w:val="20"/>
                <w:lang w:val="en-US" w:eastAsia="zh-CN"/>
              </w:rPr>
            </w:pPr>
            <w:r>
              <w:rPr>
                <w:rFonts w:hint="eastAsia" w:ascii="Times New Roman" w:hAnsi="Times New Roman"/>
                <w:color w:val="auto"/>
                <w:kern w:val="0"/>
                <w:sz w:val="20"/>
                <w:szCs w:val="20"/>
                <w:lang w:eastAsia="zh-CN"/>
              </w:rPr>
              <w:t>—</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auto"/>
                <w:kern w:val="0"/>
                <w:sz w:val="20"/>
                <w:szCs w:val="20"/>
              </w:rPr>
            </w:pPr>
            <w:r>
              <w:rPr>
                <w:rFonts w:hint="eastAsia" w:ascii="Times New Roman" w:hAnsi="Times New Roman"/>
                <w:color w:val="auto"/>
                <w:kern w:val="0"/>
                <w:sz w:val="20"/>
                <w:szCs w:val="20"/>
                <w:lang w:eastAsia="zh-CN"/>
              </w:rPr>
              <w:t>—</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会议费、培训费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FF0000"/>
                <w:kern w:val="0"/>
                <w:sz w:val="20"/>
                <w:szCs w:val="20"/>
              </w:rPr>
            </w:pPr>
            <w:r>
              <w:rPr>
                <w:rFonts w:hint="eastAsia" w:ascii="Times New Roman" w:hAnsi="Times New Roman"/>
                <w:color w:val="auto"/>
                <w:kern w:val="0"/>
                <w:sz w:val="20"/>
                <w:szCs w:val="20"/>
                <w:lang w:eastAsia="zh-CN"/>
              </w:rPr>
              <w:t>—</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olor w:val="auto"/>
                <w:kern w:val="0"/>
                <w:sz w:val="20"/>
                <w:szCs w:val="20"/>
                <w:lang w:val="en-US" w:eastAsia="zh-CN"/>
              </w:rPr>
            </w:pPr>
            <w:r>
              <w:rPr>
                <w:rFonts w:hint="eastAsia" w:ascii="Times New Roman" w:hAnsi="Times New Roman"/>
                <w:color w:val="auto"/>
                <w:kern w:val="0"/>
                <w:sz w:val="20"/>
                <w:szCs w:val="20"/>
                <w:lang w:eastAsia="zh-CN"/>
              </w:rPr>
              <w:t>—</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olor w:val="auto"/>
                <w:kern w:val="0"/>
                <w:sz w:val="20"/>
                <w:szCs w:val="20"/>
                <w:lang w:val="en-US" w:eastAsia="zh-CN"/>
              </w:rPr>
            </w:pPr>
            <w:r>
              <w:rPr>
                <w:rFonts w:hint="eastAsia" w:ascii="Times New Roman" w:hAnsi="Times New Roman"/>
                <w:color w:val="auto"/>
                <w:kern w:val="0"/>
                <w:sz w:val="20"/>
                <w:szCs w:val="20"/>
                <w:lang w:eastAsia="zh-CN"/>
              </w:rPr>
              <w:t>—</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政府采购金额</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 w:val="20"/>
                <w:szCs w:val="20"/>
                <w:lang w:val="en-US" w:eastAsia="zh-CN"/>
              </w:rPr>
            </w:pPr>
            <w:r>
              <w:rPr>
                <w:rFonts w:ascii="Times New Roman" w:hAnsi="Times New Roman"/>
                <w:color w:val="auto"/>
                <w:kern w:val="0"/>
                <w:sz w:val="20"/>
                <w:szCs w:val="20"/>
              </w:rPr>
              <w:t>　</w:t>
            </w:r>
            <w:r>
              <w:rPr>
                <w:rFonts w:hint="eastAsia" w:ascii="Times New Roman" w:hAnsi="Times New Roman"/>
                <w:color w:val="auto"/>
                <w:kern w:val="0"/>
                <w:sz w:val="20"/>
                <w:szCs w:val="20"/>
                <w:lang w:val="en-US" w:eastAsia="zh-CN"/>
              </w:rPr>
              <w:t>2.76</w:t>
            </w:r>
            <w:r>
              <w:rPr>
                <w:rFonts w:ascii="Times New Roman" w:hAnsi="Times New Roman"/>
                <w:color w:val="auto"/>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olor w:val="auto"/>
                <w:kern w:val="0"/>
                <w:sz w:val="20"/>
                <w:szCs w:val="20"/>
                <w:lang w:val="en-US" w:eastAsia="zh-CN"/>
              </w:rPr>
            </w:pPr>
            <w:r>
              <w:rPr>
                <w:rFonts w:hint="eastAsia" w:ascii="Times New Roman" w:hAnsi="Times New Roman"/>
                <w:color w:val="auto"/>
                <w:kern w:val="0"/>
                <w:sz w:val="20"/>
                <w:szCs w:val="20"/>
                <w:lang w:val="en-US" w:eastAsia="zh-CN"/>
              </w:rPr>
              <w:t>0</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6.64</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部门整体支出预算调整 </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 w:val="20"/>
                <w:szCs w:val="20"/>
                <w:lang w:eastAsia="zh-CN"/>
              </w:rPr>
            </w:pPr>
            <w:r>
              <w:rPr>
                <w:rFonts w:hint="eastAsia" w:ascii="Times New Roman" w:hAnsi="Times New Roman"/>
                <w:kern w:val="0"/>
                <w:sz w:val="20"/>
                <w:szCs w:val="20"/>
                <w:lang w:val="en-US" w:eastAsia="zh-CN"/>
              </w:rPr>
              <w:t xml:space="preserve"> 363.40</w:t>
            </w: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ind w:firstLine="800" w:firstLineChars="400"/>
              <w:jc w:val="both"/>
              <w:rPr>
                <w:rFonts w:hint="eastAsia" w:ascii="Times New Roman" w:hAnsi="Times New Roman" w:eastAsiaTheme="minorEastAsia"/>
                <w:kern w:val="0"/>
                <w:sz w:val="20"/>
                <w:szCs w:val="20"/>
                <w:lang w:val="en-US" w:eastAsia="zh-CN"/>
              </w:rPr>
            </w:pPr>
            <w:r>
              <w:rPr>
                <w:rFonts w:ascii="Times New Roman" w:hAnsi="Times New Roman"/>
                <w:kern w:val="0"/>
                <w:sz w:val="20"/>
                <w:szCs w:val="20"/>
              </w:rPr>
              <w:t>　</w:t>
            </w:r>
            <w:r>
              <w:rPr>
                <w:rFonts w:hint="eastAsia" w:ascii="Times New Roman" w:hAnsi="Times New Roman"/>
                <w:kern w:val="0"/>
                <w:sz w:val="20"/>
                <w:szCs w:val="20"/>
                <w:lang w:val="en-US" w:eastAsia="zh-CN"/>
              </w:rPr>
              <w:t>338.97</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393.55</w:t>
            </w:r>
          </w:p>
        </w:tc>
      </w:tr>
      <w:tr>
        <w:tblPrEx>
          <w:tblCellMar>
            <w:top w:w="0" w:type="dxa"/>
            <w:left w:w="108" w:type="dxa"/>
            <w:bottom w:w="0" w:type="dxa"/>
            <w:right w:w="108" w:type="dxa"/>
          </w:tblCellMar>
        </w:tblPrEx>
        <w:trPr>
          <w:trHeight w:val="1041" w:hRule="atLeast"/>
          <w:jc w:val="center"/>
        </w:trPr>
        <w:tc>
          <w:tcPr>
            <w:tcW w:w="307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kern w:val="0"/>
                <w:sz w:val="20"/>
                <w:szCs w:val="20"/>
                <w:lang w:eastAsia="zh-CN"/>
              </w:rPr>
            </w:pPr>
            <w:r>
              <w:rPr>
                <w:rFonts w:ascii="Times New Roman" w:hAnsi="Times New Roman"/>
                <w:kern w:val="0"/>
                <w:sz w:val="20"/>
                <w:szCs w:val="20"/>
              </w:rPr>
              <w:t>楼堂馆所控制情况</w:t>
            </w:r>
          </w:p>
          <w:p>
            <w:pPr>
              <w:widowControl/>
              <w:jc w:val="center"/>
              <w:rPr>
                <w:rFonts w:ascii="Times New Roman" w:hAnsi="Times New Roman"/>
                <w:kern w:val="0"/>
                <w:sz w:val="20"/>
                <w:szCs w:val="20"/>
              </w:rPr>
            </w:pPr>
            <w:r>
              <w:rPr>
                <w:rFonts w:ascii="Times New Roman" w:hAnsi="Times New Roman"/>
                <w:kern w:val="0"/>
                <w:sz w:val="20"/>
                <w:szCs w:val="20"/>
              </w:rPr>
              <w:t>（2019年完工项目）</w:t>
            </w:r>
          </w:p>
        </w:tc>
        <w:tc>
          <w:tcPr>
            <w:tcW w:w="105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Theme="minorEastAsia"/>
                <w:b/>
                <w:bCs/>
                <w:kern w:val="0"/>
                <w:sz w:val="20"/>
                <w:szCs w:val="20"/>
                <w:lang w:eastAsia="zh-CN"/>
              </w:rPr>
            </w:pPr>
            <w:r>
              <w:rPr>
                <w:rFonts w:ascii="Times New Roman" w:hAnsi="Times New Roman"/>
                <w:b/>
                <w:bCs/>
                <w:kern w:val="0"/>
                <w:sz w:val="20"/>
                <w:szCs w:val="20"/>
              </w:rPr>
              <w:t>批复规模</w:t>
            </w:r>
          </w:p>
          <w:p>
            <w:pPr>
              <w:widowControl/>
              <w:jc w:val="center"/>
              <w:rPr>
                <w:rFonts w:ascii="Times New Roman" w:hAnsi="Times New Roman"/>
                <w:b/>
                <w:bCs/>
                <w:kern w:val="0"/>
                <w:sz w:val="20"/>
                <w:szCs w:val="20"/>
              </w:rPr>
            </w:pPr>
            <w:r>
              <w:rPr>
                <w:rFonts w:ascii="Times New Roman" w:hAnsi="Times New Roman"/>
                <w:b/>
                <w:bCs/>
                <w:kern w:val="0"/>
                <w:sz w:val="20"/>
                <w:szCs w:val="20"/>
              </w:rPr>
              <w:t>（㎡）</w:t>
            </w:r>
          </w:p>
        </w:tc>
        <w:tc>
          <w:tcPr>
            <w:tcW w:w="83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实际</w:t>
            </w:r>
          </w:p>
          <w:p>
            <w:pPr>
              <w:widowControl/>
              <w:jc w:val="center"/>
              <w:rPr>
                <w:rFonts w:hint="eastAsia" w:ascii="Times New Roman" w:hAnsi="Times New Roman" w:eastAsiaTheme="minorEastAsia"/>
                <w:b/>
                <w:bCs/>
                <w:kern w:val="0"/>
                <w:sz w:val="20"/>
                <w:szCs w:val="20"/>
                <w:lang w:eastAsia="zh-CN"/>
              </w:rPr>
            </w:pPr>
            <w:r>
              <w:rPr>
                <w:rFonts w:ascii="Times New Roman" w:hAnsi="Times New Roman"/>
                <w:b/>
                <w:bCs/>
                <w:kern w:val="0"/>
                <w:sz w:val="20"/>
                <w:szCs w:val="20"/>
              </w:rPr>
              <w:t>规模</w:t>
            </w:r>
          </w:p>
          <w:p>
            <w:pPr>
              <w:widowControl/>
              <w:jc w:val="center"/>
              <w:rPr>
                <w:rFonts w:ascii="Times New Roman" w:hAnsi="Times New Roman"/>
                <w:b/>
                <w:bCs/>
                <w:kern w:val="0"/>
                <w:sz w:val="20"/>
                <w:szCs w:val="20"/>
              </w:rPr>
            </w:pPr>
            <w:r>
              <w:rPr>
                <w:rFonts w:ascii="Times New Roman" w:hAnsi="Times New Roman"/>
                <w:b/>
                <w:bCs/>
                <w:kern w:val="0"/>
                <w:sz w:val="20"/>
                <w:szCs w:val="20"/>
              </w:rPr>
              <w:t>（㎡）</w:t>
            </w:r>
          </w:p>
        </w:tc>
        <w:tc>
          <w:tcPr>
            <w:tcW w:w="1350"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规模控制率</w:t>
            </w:r>
          </w:p>
        </w:tc>
        <w:tc>
          <w:tcPr>
            <w:tcW w:w="113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Theme="minorEastAsia"/>
                <w:b/>
                <w:bCs/>
                <w:kern w:val="0"/>
                <w:sz w:val="20"/>
                <w:szCs w:val="20"/>
                <w:lang w:eastAsia="zh-CN"/>
              </w:rPr>
            </w:pPr>
            <w:r>
              <w:rPr>
                <w:rFonts w:ascii="Times New Roman" w:hAnsi="Times New Roman"/>
                <w:b/>
                <w:bCs/>
                <w:kern w:val="0"/>
                <w:sz w:val="20"/>
                <w:szCs w:val="20"/>
              </w:rPr>
              <w:t>预算投资</w:t>
            </w:r>
          </w:p>
          <w:p>
            <w:pPr>
              <w:widowControl/>
              <w:jc w:val="center"/>
              <w:rPr>
                <w:rFonts w:ascii="Times New Roman" w:hAnsi="Times New Roman"/>
                <w:b/>
                <w:bCs/>
                <w:kern w:val="0"/>
                <w:sz w:val="20"/>
                <w:szCs w:val="20"/>
              </w:rPr>
            </w:pPr>
            <w:r>
              <w:rPr>
                <w:rFonts w:ascii="Times New Roman" w:hAnsi="Times New Roman"/>
                <w:b/>
                <w:bCs/>
                <w:kern w:val="0"/>
                <w:sz w:val="20"/>
                <w:szCs w:val="20"/>
              </w:rPr>
              <w:t>（万元）</w:t>
            </w:r>
          </w:p>
        </w:tc>
        <w:tc>
          <w:tcPr>
            <w:tcW w:w="935"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实际</w:t>
            </w:r>
          </w:p>
          <w:p>
            <w:pPr>
              <w:widowControl/>
              <w:jc w:val="center"/>
              <w:rPr>
                <w:rFonts w:hint="eastAsia" w:ascii="Times New Roman" w:hAnsi="Times New Roman" w:eastAsiaTheme="minorEastAsia"/>
                <w:b/>
                <w:bCs/>
                <w:kern w:val="0"/>
                <w:sz w:val="20"/>
                <w:szCs w:val="20"/>
                <w:lang w:eastAsia="zh-CN"/>
              </w:rPr>
            </w:pPr>
            <w:r>
              <w:rPr>
                <w:rFonts w:ascii="Times New Roman" w:hAnsi="Times New Roman"/>
                <w:b/>
                <w:bCs/>
                <w:kern w:val="0"/>
                <w:sz w:val="20"/>
                <w:szCs w:val="20"/>
              </w:rPr>
              <w:t>投资</w:t>
            </w:r>
          </w:p>
          <w:p>
            <w:pPr>
              <w:widowControl/>
              <w:jc w:val="center"/>
              <w:rPr>
                <w:rFonts w:ascii="Times New Roman" w:hAnsi="Times New Roman"/>
                <w:b/>
                <w:bCs/>
                <w:kern w:val="0"/>
                <w:sz w:val="20"/>
                <w:szCs w:val="20"/>
              </w:rPr>
            </w:pPr>
            <w:r>
              <w:rPr>
                <w:rFonts w:ascii="Times New Roman" w:hAnsi="Times New Roman"/>
                <w:b/>
                <w:bCs/>
                <w:kern w:val="0"/>
                <w:sz w:val="20"/>
                <w:szCs w:val="20"/>
              </w:rPr>
              <w:t>（万元）</w:t>
            </w:r>
          </w:p>
        </w:tc>
        <w:tc>
          <w:tcPr>
            <w:tcW w:w="1067"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投资概算</w:t>
            </w:r>
          </w:p>
          <w:p>
            <w:pPr>
              <w:widowControl/>
              <w:jc w:val="center"/>
              <w:rPr>
                <w:rFonts w:ascii="Times New Roman" w:hAnsi="Times New Roman"/>
                <w:b/>
                <w:bCs/>
                <w:kern w:val="0"/>
                <w:sz w:val="20"/>
                <w:szCs w:val="20"/>
              </w:rPr>
            </w:pPr>
            <w:r>
              <w:rPr>
                <w:rFonts w:ascii="Times New Roman" w:hAnsi="Times New Roman"/>
                <w:b/>
                <w:bCs/>
                <w:kern w:val="0"/>
                <w:sz w:val="20"/>
                <w:szCs w:val="20"/>
              </w:rPr>
              <w:t>控制率</w:t>
            </w:r>
          </w:p>
        </w:tc>
      </w:tr>
      <w:tr>
        <w:tblPrEx>
          <w:tblCellMar>
            <w:top w:w="0" w:type="dxa"/>
            <w:left w:w="108" w:type="dxa"/>
            <w:bottom w:w="0" w:type="dxa"/>
            <w:right w:w="108" w:type="dxa"/>
          </w:tblCellMar>
        </w:tblPrEx>
        <w:trPr>
          <w:trHeight w:val="438" w:hRule="atLeast"/>
          <w:jc w:val="center"/>
        </w:trPr>
        <w:tc>
          <w:tcPr>
            <w:tcW w:w="3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4"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834"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35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13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Theme="minorEastAsia"/>
                <w:kern w:val="0"/>
                <w:sz w:val="20"/>
                <w:szCs w:val="20"/>
                <w:lang w:val="en-US" w:eastAsia="zh-CN"/>
              </w:rPr>
            </w:pPr>
            <w:r>
              <w:rPr>
                <w:rFonts w:hint="eastAsia" w:ascii="Times New Roman" w:hAnsi="Times New Roman"/>
                <w:kern w:val="0"/>
                <w:sz w:val="20"/>
                <w:szCs w:val="20"/>
                <w:lang w:val="en-US" w:eastAsia="zh-CN"/>
              </w:rPr>
              <w:t>0</w:t>
            </w:r>
          </w:p>
        </w:tc>
        <w:tc>
          <w:tcPr>
            <w:tcW w:w="93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Theme="minorEastAsia"/>
                <w:kern w:val="0"/>
                <w:sz w:val="20"/>
                <w:szCs w:val="20"/>
                <w:lang w:val="en-US" w:eastAsia="zh-CN"/>
              </w:rPr>
            </w:pPr>
            <w:r>
              <w:rPr>
                <w:rFonts w:hint="eastAsia" w:ascii="Times New Roman" w:hAnsi="Times New Roman"/>
                <w:kern w:val="0"/>
                <w:sz w:val="20"/>
                <w:szCs w:val="20"/>
                <w:lang w:val="en-US" w:eastAsia="zh-CN"/>
              </w:rPr>
              <w:t>0</w:t>
            </w:r>
          </w:p>
        </w:tc>
        <w:tc>
          <w:tcPr>
            <w:tcW w:w="1067"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433"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厉行节约保障措施</w:t>
            </w:r>
          </w:p>
        </w:tc>
        <w:tc>
          <w:tcPr>
            <w:tcW w:w="6373" w:type="dxa"/>
            <w:gridSpan w:val="6"/>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700" w:hRule="atLeast"/>
          <w:jc w:val="center"/>
        </w:trPr>
        <w:tc>
          <w:tcPr>
            <w:tcW w:w="9450" w:type="dxa"/>
            <w:gridSpan w:val="7"/>
            <w:tcBorders>
              <w:top w:val="single" w:color="auto" w:sz="4" w:space="0"/>
              <w:left w:val="nil"/>
              <w:bottom w:val="nil"/>
              <w:right w:val="nil"/>
            </w:tcBorders>
            <w:vAlign w:val="center"/>
          </w:tcPr>
          <w:p>
            <w:pPr>
              <w:widowControl/>
              <w:ind w:left="640" w:hanging="640" w:hangingChars="320"/>
              <w:jc w:val="left"/>
              <w:rPr>
                <w:rFonts w:ascii="Times New Roman" w:hAnsi="Times New Roman"/>
                <w:kern w:val="0"/>
                <w:sz w:val="20"/>
                <w:szCs w:val="20"/>
              </w:rPr>
            </w:pPr>
            <w:r>
              <w:rPr>
                <w:rFonts w:ascii="Times New Roman" w:hAnsi="Times New Roman"/>
                <w:kern w:val="0"/>
                <w:sz w:val="20"/>
                <w:szCs w:val="20"/>
              </w:rPr>
              <w:t>说明：“项目支出”需要填报除公共专项资金和基本支出以外的所有项目情况，包括业务工作项目、运行维护项目等；“公用经费”填报基本支出中的一般商品和服务支出。</w:t>
            </w:r>
          </w:p>
        </w:tc>
      </w:tr>
    </w:tbl>
    <w:p>
      <w:pPr>
        <w:rPr>
          <w:rFonts w:ascii="Times New Roman" w:hAnsi="Times New Roman"/>
        </w:rPr>
      </w:pPr>
      <w:r>
        <w:rPr>
          <w:rFonts w:ascii="Times New Roman" w:hAnsi="Times New Roman"/>
        </w:rPr>
        <w:t xml:space="preserve"> </w:t>
      </w:r>
    </w:p>
    <w:p>
      <w:pPr>
        <w:spacing w:line="600" w:lineRule="exact"/>
        <w:rPr>
          <w:rFonts w:eastAsia="黑体"/>
          <w:sz w:val="28"/>
          <w:szCs w:val="28"/>
        </w:rPr>
      </w:pPr>
    </w:p>
    <w:p>
      <w:pPr>
        <w:spacing w:line="600" w:lineRule="exact"/>
        <w:rPr>
          <w:rFonts w:eastAsia="黑体"/>
          <w:sz w:val="28"/>
          <w:szCs w:val="28"/>
        </w:rPr>
      </w:pPr>
    </w:p>
    <w:p>
      <w:pPr>
        <w:rPr>
          <w:rFonts w:eastAsia="黑体"/>
          <w:sz w:val="32"/>
          <w:szCs w:val="32"/>
        </w:rPr>
      </w:pPr>
    </w:p>
    <w:p>
      <w:pPr>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r>
        <w:rPr>
          <w:rFonts w:ascii="Times New Roman" w:hAnsi="Times New Roman" w:eastAsia="黑体"/>
          <w:sz w:val="32"/>
          <w:szCs w:val="32"/>
        </w:rPr>
        <w:t>-1</w:t>
      </w:r>
      <w:r>
        <w:rPr>
          <w:rFonts w:ascii="Times New Roman" w:hAnsi="Times New Roman" w:eastAsia="黑体"/>
          <w:sz w:val="32"/>
          <w:szCs w:val="32"/>
        </w:rPr>
        <w:tab/>
      </w:r>
    </w:p>
    <w:p>
      <w:pPr>
        <w:spacing w:afterLines="50" w:line="360" w:lineRule="auto"/>
        <w:jc w:val="center"/>
        <w:rPr>
          <w:rFonts w:eastAsia="方正小标宋简体"/>
          <w:kern w:val="0"/>
          <w:sz w:val="44"/>
          <w:szCs w:val="44"/>
          <w:highlight w:val="none"/>
        </w:rPr>
      </w:pPr>
      <w:r>
        <w:rPr>
          <w:rFonts w:eastAsia="方正小标宋简体"/>
          <w:kern w:val="0"/>
          <w:sz w:val="44"/>
          <w:szCs w:val="44"/>
          <w:highlight w:val="none"/>
        </w:rPr>
        <w:t>部门整体支出绩效自评指标表</w:t>
      </w:r>
    </w:p>
    <w:tbl>
      <w:tblPr>
        <w:tblStyle w:val="7"/>
        <w:tblW w:w="993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8"/>
        <w:gridCol w:w="737"/>
        <w:gridCol w:w="833"/>
        <w:gridCol w:w="568"/>
        <w:gridCol w:w="2808"/>
        <w:gridCol w:w="333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blHeader/>
        </w:trPr>
        <w:tc>
          <w:tcPr>
            <w:tcW w:w="868" w:type="dxa"/>
            <w:tcMar>
              <w:top w:w="15" w:type="dxa"/>
              <w:left w:w="15" w:type="dxa"/>
              <w:right w:w="15" w:type="dxa"/>
            </w:tcMar>
            <w:vAlign w:val="center"/>
          </w:tcPr>
          <w:p>
            <w:pPr>
              <w:widowControl/>
              <w:jc w:val="center"/>
              <w:textAlignment w:val="center"/>
              <w:rPr>
                <w:rFonts w:hint="eastAsia" w:eastAsia="黑体"/>
                <w:color w:val="000000"/>
                <w:kern w:val="0"/>
                <w:sz w:val="20"/>
                <w:szCs w:val="20"/>
                <w:highlight w:val="none"/>
                <w:lang w:eastAsia="zh-CN"/>
              </w:rPr>
            </w:pPr>
            <w:r>
              <w:rPr>
                <w:rFonts w:eastAsia="黑体"/>
                <w:color w:val="000000"/>
                <w:kern w:val="0"/>
                <w:sz w:val="20"/>
                <w:szCs w:val="20"/>
                <w:highlight w:val="none"/>
              </w:rPr>
              <w:t>一级</w:t>
            </w:r>
          </w:p>
          <w:p>
            <w:pPr>
              <w:widowControl/>
              <w:jc w:val="center"/>
              <w:textAlignment w:val="center"/>
              <w:rPr>
                <w:rFonts w:eastAsia="黑体"/>
                <w:color w:val="000000"/>
                <w:sz w:val="20"/>
                <w:szCs w:val="20"/>
                <w:highlight w:val="none"/>
              </w:rPr>
            </w:pPr>
            <w:r>
              <w:rPr>
                <w:rFonts w:eastAsia="黑体"/>
                <w:color w:val="000000"/>
                <w:kern w:val="0"/>
                <w:sz w:val="20"/>
                <w:szCs w:val="20"/>
                <w:highlight w:val="none"/>
              </w:rPr>
              <w:t>指标</w:t>
            </w:r>
          </w:p>
        </w:tc>
        <w:tc>
          <w:tcPr>
            <w:tcW w:w="737" w:type="dxa"/>
            <w:tcMar>
              <w:top w:w="15" w:type="dxa"/>
              <w:left w:w="15" w:type="dxa"/>
              <w:right w:w="15" w:type="dxa"/>
            </w:tcMar>
            <w:vAlign w:val="center"/>
          </w:tcPr>
          <w:p>
            <w:pPr>
              <w:widowControl/>
              <w:jc w:val="center"/>
              <w:textAlignment w:val="center"/>
              <w:rPr>
                <w:rFonts w:hint="eastAsia" w:eastAsia="黑体"/>
                <w:color w:val="000000"/>
                <w:kern w:val="0"/>
                <w:sz w:val="20"/>
                <w:szCs w:val="20"/>
                <w:highlight w:val="none"/>
                <w:lang w:eastAsia="zh-CN"/>
              </w:rPr>
            </w:pPr>
            <w:r>
              <w:rPr>
                <w:rFonts w:eastAsia="黑体"/>
                <w:color w:val="000000"/>
                <w:kern w:val="0"/>
                <w:sz w:val="20"/>
                <w:szCs w:val="20"/>
                <w:highlight w:val="none"/>
              </w:rPr>
              <w:t>二级</w:t>
            </w:r>
          </w:p>
          <w:p>
            <w:pPr>
              <w:widowControl/>
              <w:jc w:val="center"/>
              <w:textAlignment w:val="center"/>
              <w:rPr>
                <w:rFonts w:eastAsia="黑体"/>
                <w:color w:val="000000"/>
                <w:sz w:val="20"/>
                <w:szCs w:val="20"/>
                <w:highlight w:val="none"/>
              </w:rPr>
            </w:pPr>
            <w:r>
              <w:rPr>
                <w:rFonts w:eastAsia="黑体"/>
                <w:color w:val="000000"/>
                <w:kern w:val="0"/>
                <w:sz w:val="20"/>
                <w:szCs w:val="20"/>
                <w:highlight w:val="none"/>
              </w:rPr>
              <w:t>指标</w:t>
            </w:r>
          </w:p>
        </w:tc>
        <w:tc>
          <w:tcPr>
            <w:tcW w:w="833" w:type="dxa"/>
            <w:tcMar>
              <w:top w:w="15" w:type="dxa"/>
              <w:left w:w="15" w:type="dxa"/>
              <w:right w:w="15" w:type="dxa"/>
            </w:tcMar>
            <w:vAlign w:val="center"/>
          </w:tcPr>
          <w:p>
            <w:pPr>
              <w:widowControl/>
              <w:jc w:val="center"/>
              <w:textAlignment w:val="center"/>
              <w:rPr>
                <w:rFonts w:eastAsia="黑体"/>
                <w:color w:val="000000"/>
                <w:kern w:val="0"/>
                <w:sz w:val="20"/>
                <w:szCs w:val="20"/>
                <w:highlight w:val="none"/>
              </w:rPr>
            </w:pPr>
            <w:r>
              <w:rPr>
                <w:rFonts w:eastAsia="黑体"/>
                <w:color w:val="000000"/>
                <w:kern w:val="0"/>
                <w:sz w:val="20"/>
                <w:szCs w:val="20"/>
                <w:highlight w:val="none"/>
              </w:rPr>
              <w:t>三级</w:t>
            </w:r>
          </w:p>
          <w:p>
            <w:pPr>
              <w:widowControl/>
              <w:jc w:val="center"/>
              <w:textAlignment w:val="center"/>
              <w:rPr>
                <w:rFonts w:eastAsia="黑体"/>
                <w:color w:val="000000"/>
                <w:sz w:val="20"/>
                <w:szCs w:val="20"/>
                <w:highlight w:val="none"/>
              </w:rPr>
            </w:pPr>
            <w:r>
              <w:rPr>
                <w:rFonts w:eastAsia="黑体"/>
                <w:color w:val="000000"/>
                <w:kern w:val="0"/>
                <w:sz w:val="20"/>
                <w:szCs w:val="20"/>
                <w:highlight w:val="none"/>
              </w:rPr>
              <w:t>指标</w:t>
            </w:r>
          </w:p>
        </w:tc>
        <w:tc>
          <w:tcPr>
            <w:tcW w:w="568" w:type="dxa"/>
            <w:tcMar>
              <w:top w:w="15" w:type="dxa"/>
              <w:left w:w="15" w:type="dxa"/>
              <w:right w:w="15" w:type="dxa"/>
            </w:tcMar>
            <w:vAlign w:val="center"/>
          </w:tcPr>
          <w:p>
            <w:pPr>
              <w:widowControl/>
              <w:jc w:val="center"/>
              <w:textAlignment w:val="center"/>
              <w:rPr>
                <w:rFonts w:eastAsia="黑体"/>
                <w:color w:val="000000"/>
                <w:sz w:val="20"/>
                <w:szCs w:val="20"/>
                <w:highlight w:val="none"/>
              </w:rPr>
            </w:pPr>
            <w:r>
              <w:rPr>
                <w:rFonts w:eastAsia="黑体"/>
                <w:color w:val="000000"/>
                <w:kern w:val="0"/>
                <w:sz w:val="20"/>
                <w:szCs w:val="20"/>
                <w:highlight w:val="none"/>
              </w:rPr>
              <w:t>分值</w:t>
            </w:r>
          </w:p>
        </w:tc>
        <w:tc>
          <w:tcPr>
            <w:tcW w:w="2808" w:type="dxa"/>
            <w:tcMar>
              <w:top w:w="15" w:type="dxa"/>
              <w:left w:w="15" w:type="dxa"/>
              <w:right w:w="15" w:type="dxa"/>
            </w:tcMar>
            <w:vAlign w:val="center"/>
          </w:tcPr>
          <w:p>
            <w:pPr>
              <w:widowControl/>
              <w:jc w:val="center"/>
              <w:textAlignment w:val="center"/>
              <w:rPr>
                <w:rFonts w:eastAsia="黑体"/>
                <w:color w:val="000000"/>
                <w:sz w:val="20"/>
                <w:szCs w:val="20"/>
                <w:highlight w:val="none"/>
              </w:rPr>
            </w:pPr>
            <w:r>
              <w:rPr>
                <w:rFonts w:eastAsia="黑体"/>
                <w:color w:val="000000"/>
                <w:kern w:val="0"/>
                <w:sz w:val="20"/>
                <w:szCs w:val="20"/>
                <w:highlight w:val="none"/>
              </w:rPr>
              <w:t>评分要点</w:t>
            </w:r>
          </w:p>
        </w:tc>
        <w:tc>
          <w:tcPr>
            <w:tcW w:w="3338" w:type="dxa"/>
            <w:tcMar>
              <w:top w:w="15" w:type="dxa"/>
              <w:left w:w="15" w:type="dxa"/>
              <w:right w:w="15" w:type="dxa"/>
            </w:tcMar>
            <w:vAlign w:val="center"/>
          </w:tcPr>
          <w:p>
            <w:pPr>
              <w:widowControl/>
              <w:jc w:val="center"/>
              <w:textAlignment w:val="center"/>
              <w:rPr>
                <w:rFonts w:eastAsia="黑体"/>
                <w:color w:val="000000"/>
                <w:sz w:val="20"/>
                <w:szCs w:val="20"/>
                <w:highlight w:val="none"/>
              </w:rPr>
            </w:pPr>
            <w:r>
              <w:rPr>
                <w:rFonts w:eastAsia="黑体"/>
                <w:color w:val="000000"/>
                <w:kern w:val="0"/>
                <w:sz w:val="20"/>
                <w:szCs w:val="20"/>
                <w:highlight w:val="none"/>
              </w:rPr>
              <w:t>评分标准</w:t>
            </w:r>
          </w:p>
        </w:tc>
        <w:tc>
          <w:tcPr>
            <w:tcW w:w="778" w:type="dxa"/>
            <w:tcMar>
              <w:top w:w="15" w:type="dxa"/>
              <w:left w:w="15" w:type="dxa"/>
              <w:right w:w="15" w:type="dxa"/>
            </w:tcMar>
            <w:vAlign w:val="center"/>
          </w:tcPr>
          <w:p>
            <w:pPr>
              <w:widowControl/>
              <w:jc w:val="center"/>
              <w:textAlignment w:val="center"/>
              <w:rPr>
                <w:rFonts w:eastAsia="黑体"/>
                <w:color w:val="000000"/>
                <w:kern w:val="0"/>
                <w:sz w:val="20"/>
                <w:szCs w:val="20"/>
                <w:highlight w:val="none"/>
              </w:rPr>
            </w:pPr>
            <w:r>
              <w:rPr>
                <w:rFonts w:hint="eastAsia" w:eastAsia="黑体"/>
                <w:color w:val="000000"/>
                <w:kern w:val="0"/>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3" w:hRule="atLeast"/>
        </w:trPr>
        <w:tc>
          <w:tcPr>
            <w:tcW w:w="868" w:type="dxa"/>
            <w:vMerge w:val="restart"/>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投入</w:t>
            </w:r>
          </w:p>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w:t>
            </w:r>
            <w:r>
              <w:rPr>
                <w:rStyle w:val="14"/>
                <w:rFonts w:hint="eastAsia" w:ascii="Times New Roman" w:hAnsi="Times New Roman"/>
                <w:sz w:val="20"/>
                <w:szCs w:val="20"/>
                <w:highlight w:val="none"/>
                <w:lang w:val="en-US" w:eastAsia="zh-CN"/>
              </w:rPr>
              <w:t>9</w:t>
            </w:r>
            <w:r>
              <w:rPr>
                <w:rStyle w:val="14"/>
                <w:rFonts w:hint="default" w:ascii="Times New Roman" w:hAnsi="Times New Roman"/>
                <w:sz w:val="20"/>
                <w:szCs w:val="20"/>
                <w:highlight w:val="none"/>
              </w:rPr>
              <w:t>分）</w:t>
            </w: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tc>
        <w:tc>
          <w:tcPr>
            <w:tcW w:w="737" w:type="dxa"/>
            <w:vMerge w:val="restart"/>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目标</w:t>
            </w:r>
          </w:p>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设定</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w:t>
            </w:r>
            <w:r>
              <w:rPr>
                <w:rStyle w:val="15"/>
                <w:rFonts w:hint="eastAsia"/>
                <w:sz w:val="20"/>
                <w:szCs w:val="20"/>
                <w:highlight w:val="none"/>
                <w:lang w:val="en-US" w:eastAsia="zh-CN"/>
              </w:rPr>
              <w:t>6</w:t>
            </w:r>
            <w:r>
              <w:rPr>
                <w:rStyle w:val="14"/>
                <w:rFonts w:hint="default" w:ascii="Times New Roman" w:hAnsi="Times New Roman"/>
                <w:sz w:val="20"/>
                <w:szCs w:val="20"/>
                <w:highlight w:val="none"/>
              </w:rPr>
              <w:t>分）</w:t>
            </w:r>
          </w:p>
        </w:tc>
        <w:tc>
          <w:tcPr>
            <w:tcW w:w="833"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绩效目标</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合理性</w:t>
            </w:r>
          </w:p>
        </w:tc>
        <w:tc>
          <w:tcPr>
            <w:tcW w:w="568" w:type="dxa"/>
            <w:tcMar>
              <w:top w:w="15" w:type="dxa"/>
              <w:left w:w="15" w:type="dxa"/>
              <w:right w:w="15" w:type="dxa"/>
            </w:tcMar>
            <w:vAlign w:val="center"/>
          </w:tcPr>
          <w:p>
            <w:pPr>
              <w:widowControl/>
              <w:jc w:val="center"/>
              <w:textAlignment w:val="center"/>
              <w:rPr>
                <w:rFonts w:hint="eastAsia" w:eastAsia="宋体"/>
                <w:color w:val="000000"/>
                <w:sz w:val="20"/>
                <w:szCs w:val="20"/>
                <w:highlight w:val="none"/>
                <w:lang w:eastAsia="zh-CN"/>
              </w:rPr>
            </w:pPr>
            <w:r>
              <w:rPr>
                <w:rFonts w:hint="eastAsia"/>
                <w:color w:val="000000"/>
                <w:kern w:val="0"/>
                <w:sz w:val="20"/>
                <w:szCs w:val="20"/>
                <w:highlight w:val="none"/>
                <w:lang w:val="en-US" w:eastAsia="zh-CN"/>
              </w:rPr>
              <w:t>2</w:t>
            </w:r>
          </w:p>
        </w:tc>
        <w:tc>
          <w:tcPr>
            <w:tcW w:w="2808" w:type="dxa"/>
            <w:tcMar>
              <w:top w:w="15" w:type="dxa"/>
              <w:left w:w="15" w:type="dxa"/>
              <w:right w:w="15" w:type="dxa"/>
            </w:tcMar>
            <w:vAlign w:val="center"/>
          </w:tcPr>
          <w:p>
            <w:pPr>
              <w:widowControl/>
              <w:jc w:val="left"/>
              <w:textAlignment w:val="center"/>
              <w:rPr>
                <w:rStyle w:val="14"/>
                <w:rFonts w:hint="eastAsia" w:ascii="Times New Roman" w:hAnsi="Times New Roman" w:eastAsia="宋体"/>
                <w:color w:val="000000" w:themeColor="text1"/>
                <w:sz w:val="20"/>
                <w:szCs w:val="20"/>
                <w:highlight w:val="none"/>
                <w:lang w:eastAsia="zh-CN"/>
                <w14:textFill>
                  <w14:solidFill>
                    <w14:schemeClr w14:val="tx1"/>
                  </w14:solidFill>
                </w14:textFill>
              </w:rPr>
            </w:pPr>
            <w:r>
              <w:rPr>
                <w:rStyle w:val="14"/>
                <w:rFonts w:hint="default"/>
                <w:color w:val="000000" w:themeColor="text1"/>
                <w:sz w:val="20"/>
                <w:szCs w:val="20"/>
                <w:highlight w:val="none"/>
                <w14:textFill>
                  <w14:solidFill>
                    <w14:schemeClr w14:val="tx1"/>
                  </w14:solidFill>
                </w14:textFill>
              </w:rPr>
              <w:t>①</w:t>
            </w:r>
            <w:r>
              <w:rPr>
                <w:rStyle w:val="14"/>
                <w:rFonts w:hint="default" w:ascii="Times New Roman" w:hAnsi="Times New Roman"/>
                <w:color w:val="000000" w:themeColor="text1"/>
                <w:sz w:val="20"/>
                <w:szCs w:val="20"/>
                <w:highlight w:val="none"/>
                <w14:textFill>
                  <w14:solidFill>
                    <w14:schemeClr w14:val="tx1"/>
                  </w14:solidFill>
                </w14:textFill>
              </w:rPr>
              <w:t>是否符合国家法律法规、国民经济和社会发展总体规划；</w:t>
            </w:r>
          </w:p>
          <w:p>
            <w:pPr>
              <w:widowControl/>
              <w:jc w:val="left"/>
              <w:textAlignment w:val="center"/>
              <w:rPr>
                <w:rStyle w:val="14"/>
                <w:rFonts w:hint="eastAsia" w:ascii="Times New Roman" w:hAnsi="Times New Roman" w:eastAsia="宋体"/>
                <w:color w:val="000000" w:themeColor="text1"/>
                <w:sz w:val="20"/>
                <w:szCs w:val="20"/>
                <w:highlight w:val="none"/>
                <w:lang w:eastAsia="zh-CN"/>
                <w14:textFill>
                  <w14:solidFill>
                    <w14:schemeClr w14:val="tx1"/>
                  </w14:solidFill>
                </w14:textFill>
              </w:rPr>
            </w:pPr>
            <w:r>
              <w:rPr>
                <w:rStyle w:val="14"/>
                <w:rFonts w:hint="default"/>
                <w:color w:val="000000" w:themeColor="text1"/>
                <w:sz w:val="20"/>
                <w:szCs w:val="20"/>
                <w:highlight w:val="none"/>
                <w14:textFill>
                  <w14:solidFill>
                    <w14:schemeClr w14:val="tx1"/>
                  </w14:solidFill>
                </w14:textFill>
              </w:rPr>
              <w:t>②</w:t>
            </w:r>
            <w:r>
              <w:rPr>
                <w:rStyle w:val="14"/>
                <w:rFonts w:hint="default" w:ascii="Times New Roman" w:hAnsi="Times New Roman"/>
                <w:color w:val="000000" w:themeColor="text1"/>
                <w:sz w:val="20"/>
                <w:szCs w:val="20"/>
                <w:highlight w:val="none"/>
                <w14:textFill>
                  <w14:solidFill>
                    <w14:schemeClr w14:val="tx1"/>
                  </w14:solidFill>
                </w14:textFill>
              </w:rPr>
              <w:t>是否符合部门</w:t>
            </w:r>
            <w:r>
              <w:rPr>
                <w:rStyle w:val="15"/>
                <w:color w:val="000000" w:themeColor="text1"/>
                <w:sz w:val="20"/>
                <w:szCs w:val="20"/>
                <w:highlight w:val="none"/>
                <w14:textFill>
                  <w14:solidFill>
                    <w14:schemeClr w14:val="tx1"/>
                  </w14:solidFill>
                </w14:textFill>
              </w:rPr>
              <w:t>“</w:t>
            </w:r>
            <w:r>
              <w:rPr>
                <w:rStyle w:val="14"/>
                <w:rFonts w:hint="default" w:ascii="Times New Roman" w:hAnsi="Times New Roman"/>
                <w:color w:val="000000" w:themeColor="text1"/>
                <w:sz w:val="20"/>
                <w:szCs w:val="20"/>
                <w:highlight w:val="none"/>
                <w14:textFill>
                  <w14:solidFill>
                    <w14:schemeClr w14:val="tx1"/>
                  </w14:solidFill>
                </w14:textFill>
              </w:rPr>
              <w:t>三定</w:t>
            </w:r>
            <w:r>
              <w:rPr>
                <w:rStyle w:val="15"/>
                <w:color w:val="000000" w:themeColor="text1"/>
                <w:sz w:val="20"/>
                <w:szCs w:val="20"/>
                <w:highlight w:val="none"/>
                <w14:textFill>
                  <w14:solidFill>
                    <w14:schemeClr w14:val="tx1"/>
                  </w14:solidFill>
                </w14:textFill>
              </w:rPr>
              <w:t>”</w:t>
            </w:r>
            <w:r>
              <w:rPr>
                <w:rStyle w:val="14"/>
                <w:rFonts w:hint="default" w:ascii="Times New Roman" w:hAnsi="Times New Roman"/>
                <w:color w:val="000000" w:themeColor="text1"/>
                <w:sz w:val="20"/>
                <w:szCs w:val="20"/>
                <w:highlight w:val="none"/>
                <w14:textFill>
                  <w14:solidFill>
                    <w14:schemeClr w14:val="tx1"/>
                  </w14:solidFill>
                </w14:textFill>
              </w:rPr>
              <w:t>方案确定的职责；</w:t>
            </w:r>
          </w:p>
          <w:p>
            <w:pPr>
              <w:widowControl/>
              <w:jc w:val="left"/>
              <w:textAlignment w:val="center"/>
              <w:rPr>
                <w:rStyle w:val="14"/>
                <w:rFonts w:hint="eastAsia" w:ascii="Times New Roman" w:hAnsi="Times New Roman" w:eastAsia="宋体"/>
                <w:color w:val="000000" w:themeColor="text1"/>
                <w:sz w:val="20"/>
                <w:szCs w:val="20"/>
                <w:highlight w:val="none"/>
                <w:lang w:eastAsia="zh-CN"/>
                <w14:textFill>
                  <w14:solidFill>
                    <w14:schemeClr w14:val="tx1"/>
                  </w14:solidFill>
                </w14:textFill>
              </w:rPr>
            </w:pPr>
            <w:r>
              <w:rPr>
                <w:rStyle w:val="14"/>
                <w:rFonts w:hint="default"/>
                <w:color w:val="000000" w:themeColor="text1"/>
                <w:sz w:val="20"/>
                <w:szCs w:val="20"/>
                <w:highlight w:val="none"/>
                <w14:textFill>
                  <w14:solidFill>
                    <w14:schemeClr w14:val="tx1"/>
                  </w14:solidFill>
                </w14:textFill>
              </w:rPr>
              <w:t>③</w:t>
            </w:r>
            <w:r>
              <w:rPr>
                <w:rStyle w:val="14"/>
                <w:rFonts w:hint="default" w:ascii="Times New Roman" w:hAnsi="Times New Roman"/>
                <w:color w:val="000000" w:themeColor="text1"/>
                <w:sz w:val="20"/>
                <w:szCs w:val="20"/>
                <w:highlight w:val="none"/>
                <w14:textFill>
                  <w14:solidFill>
                    <w14:schemeClr w14:val="tx1"/>
                  </w14:solidFill>
                </w14:textFill>
              </w:rPr>
              <w:t>是否符合部门制定的发展实施规划</w:t>
            </w:r>
            <w:r>
              <w:rPr>
                <w:rStyle w:val="14"/>
                <w:rFonts w:hint="eastAsia" w:ascii="Times New Roman" w:hAnsi="Times New Roman"/>
                <w:color w:val="000000" w:themeColor="text1"/>
                <w:sz w:val="20"/>
                <w:szCs w:val="20"/>
                <w:highlight w:val="none"/>
                <w:lang w:eastAsia="zh-CN"/>
                <w14:textFill>
                  <w14:solidFill>
                    <w14:schemeClr w14:val="tx1"/>
                  </w14:solidFill>
                </w14:textFill>
              </w:rPr>
              <w:t>；</w:t>
            </w:r>
          </w:p>
          <w:p>
            <w:pPr>
              <w:widowControl/>
              <w:jc w:val="left"/>
              <w:textAlignment w:val="center"/>
              <w:rPr>
                <w:rStyle w:val="14"/>
                <w:rFonts w:hint="eastAsia" w:ascii="Times New Roman" w:hAnsi="Times New Roman" w:eastAsia="宋体"/>
                <w:color w:val="000000" w:themeColor="text1"/>
                <w:sz w:val="20"/>
                <w:szCs w:val="20"/>
                <w:lang w:eastAsia="zh-CN"/>
                <w14:textFill>
                  <w14:solidFill>
                    <w14:schemeClr w14:val="tx1"/>
                  </w14:solidFill>
                </w14:textFill>
              </w:rPr>
            </w:pPr>
            <w:r>
              <w:rPr>
                <w:rFonts w:hint="eastAsia"/>
                <w:color w:val="000000" w:themeColor="text1"/>
                <w:sz w:val="20"/>
                <w:szCs w:val="20"/>
                <w14:textFill>
                  <w14:solidFill>
                    <w14:schemeClr w14:val="tx1"/>
                  </w14:solidFill>
                </w14:textFill>
              </w:rPr>
              <w:t>④</w:t>
            </w:r>
            <w:r>
              <w:rPr>
                <w:rStyle w:val="14"/>
                <w:rFonts w:hint="default" w:ascii="Times New Roman" w:hAnsi="Times New Roman"/>
                <w:color w:val="000000" w:themeColor="text1"/>
                <w:sz w:val="20"/>
                <w:szCs w:val="20"/>
                <w14:textFill>
                  <w14:solidFill>
                    <w14:schemeClr w14:val="tx1"/>
                  </w14:solidFill>
                </w14:textFill>
              </w:rPr>
              <w:t>是否</w:t>
            </w:r>
            <w:r>
              <w:rPr>
                <w:rStyle w:val="14"/>
                <w:rFonts w:hint="eastAsia" w:ascii="Times New Roman" w:hAnsi="Times New Roman"/>
                <w:color w:val="000000" w:themeColor="text1"/>
                <w:sz w:val="20"/>
                <w:szCs w:val="20"/>
                <w:lang w:eastAsia="zh-CN"/>
                <w14:textFill>
                  <w14:solidFill>
                    <w14:schemeClr w14:val="tx1"/>
                  </w14:solidFill>
                </w14:textFill>
              </w:rPr>
              <w:t>分别制定了整体绩效目标和项目绩效目标</w:t>
            </w:r>
          </w:p>
          <w:p>
            <w:pPr>
              <w:pStyle w:val="2"/>
              <w:rPr>
                <w:rFonts w:hint="eastAsia"/>
                <w:lang w:eastAsia="zh-CN"/>
              </w:rPr>
            </w:pPr>
          </w:p>
        </w:tc>
        <w:tc>
          <w:tcPr>
            <w:tcW w:w="3338" w:type="dxa"/>
            <w:tcMar>
              <w:top w:w="15" w:type="dxa"/>
              <w:left w:w="15" w:type="dxa"/>
              <w:right w:w="15" w:type="dxa"/>
            </w:tcMar>
            <w:vAlign w:val="center"/>
          </w:tcPr>
          <w:p>
            <w:pPr>
              <w:widowControl/>
              <w:textAlignment w:val="center"/>
              <w:rPr>
                <w:rStyle w:val="14"/>
                <w:rFonts w:hint="eastAsia" w:ascii="Times New Roman" w:hAnsi="Times New Roman" w:eastAsia="宋体"/>
                <w:color w:val="000000" w:themeColor="text1"/>
                <w:sz w:val="20"/>
                <w:szCs w:val="20"/>
                <w:highlight w:val="none"/>
                <w:lang w:eastAsia="zh-CN"/>
                <w14:textFill>
                  <w14:solidFill>
                    <w14:schemeClr w14:val="tx1"/>
                  </w14:solidFill>
                </w14:textFill>
              </w:rPr>
            </w:pPr>
            <w:r>
              <w:rPr>
                <w:rStyle w:val="14"/>
                <w:rFonts w:hint="default"/>
                <w:color w:val="000000" w:themeColor="text1"/>
                <w:sz w:val="20"/>
                <w:szCs w:val="20"/>
                <w:highlight w:val="none"/>
                <w14:textFill>
                  <w14:solidFill>
                    <w14:schemeClr w14:val="tx1"/>
                  </w14:solidFill>
                </w14:textFill>
              </w:rPr>
              <w:t>①</w:t>
            </w:r>
            <w:r>
              <w:rPr>
                <w:rStyle w:val="14"/>
                <w:rFonts w:hint="default" w:ascii="Times New Roman" w:hAnsi="Times New Roman"/>
                <w:color w:val="000000" w:themeColor="text1"/>
                <w:sz w:val="20"/>
                <w:szCs w:val="20"/>
                <w:highlight w:val="none"/>
                <w14:textFill>
                  <w14:solidFill>
                    <w14:schemeClr w14:val="tx1"/>
                  </w14:solidFill>
                </w14:textFill>
              </w:rPr>
              <w:t>符合国家相关法律法规，本区域国民经济和社会发展规划，计</w:t>
            </w:r>
            <w:r>
              <w:rPr>
                <w:rStyle w:val="15"/>
                <w:color w:val="000000" w:themeColor="text1"/>
                <w:sz w:val="20"/>
                <w:szCs w:val="20"/>
                <w:highlight w:val="none"/>
                <w14:textFill>
                  <w14:solidFill>
                    <w14:schemeClr w14:val="tx1"/>
                  </w14:solidFill>
                </w14:textFill>
              </w:rPr>
              <w:t>0.5</w:t>
            </w:r>
            <w:r>
              <w:rPr>
                <w:rStyle w:val="14"/>
                <w:rFonts w:hint="default" w:ascii="Times New Roman" w:hAnsi="Times New Roman"/>
                <w:color w:val="000000" w:themeColor="text1"/>
                <w:sz w:val="20"/>
                <w:szCs w:val="20"/>
                <w:highlight w:val="none"/>
                <w14:textFill>
                  <w14:solidFill>
                    <w14:schemeClr w14:val="tx1"/>
                  </w14:solidFill>
                </w14:textFill>
              </w:rPr>
              <w:t>分，否则不得分；</w:t>
            </w:r>
          </w:p>
          <w:p>
            <w:pPr>
              <w:widowControl/>
              <w:textAlignment w:val="center"/>
              <w:rPr>
                <w:rStyle w:val="14"/>
                <w:rFonts w:hint="eastAsia" w:ascii="Times New Roman" w:hAnsi="Times New Roman" w:eastAsia="宋体"/>
                <w:color w:val="000000" w:themeColor="text1"/>
                <w:sz w:val="20"/>
                <w:szCs w:val="20"/>
                <w:highlight w:val="none"/>
                <w:lang w:eastAsia="zh-CN"/>
                <w14:textFill>
                  <w14:solidFill>
                    <w14:schemeClr w14:val="tx1"/>
                  </w14:solidFill>
                </w14:textFill>
              </w:rPr>
            </w:pPr>
            <w:r>
              <w:rPr>
                <w:rStyle w:val="14"/>
                <w:rFonts w:hint="default"/>
                <w:color w:val="000000" w:themeColor="text1"/>
                <w:sz w:val="20"/>
                <w:szCs w:val="20"/>
                <w:highlight w:val="none"/>
                <w14:textFill>
                  <w14:solidFill>
                    <w14:schemeClr w14:val="tx1"/>
                  </w14:solidFill>
                </w14:textFill>
              </w:rPr>
              <w:t>②</w:t>
            </w:r>
            <w:r>
              <w:rPr>
                <w:rStyle w:val="14"/>
                <w:rFonts w:hint="default" w:ascii="Times New Roman" w:hAnsi="Times New Roman"/>
                <w:color w:val="000000" w:themeColor="text1"/>
                <w:sz w:val="20"/>
                <w:szCs w:val="20"/>
                <w:highlight w:val="none"/>
                <w14:textFill>
                  <w14:solidFill>
                    <w14:schemeClr w14:val="tx1"/>
                  </w14:solidFill>
                </w14:textFill>
              </w:rPr>
              <w:t>与部门（单位）职责密切相关，计</w:t>
            </w:r>
            <w:r>
              <w:rPr>
                <w:rStyle w:val="15"/>
                <w:color w:val="000000" w:themeColor="text1"/>
                <w:sz w:val="20"/>
                <w:szCs w:val="20"/>
                <w:highlight w:val="none"/>
                <w14:textFill>
                  <w14:solidFill>
                    <w14:schemeClr w14:val="tx1"/>
                  </w14:solidFill>
                </w14:textFill>
              </w:rPr>
              <w:t>0.5</w:t>
            </w:r>
            <w:r>
              <w:rPr>
                <w:rStyle w:val="14"/>
                <w:rFonts w:hint="default" w:ascii="Times New Roman" w:hAnsi="Times New Roman"/>
                <w:color w:val="000000" w:themeColor="text1"/>
                <w:sz w:val="20"/>
                <w:szCs w:val="20"/>
                <w:highlight w:val="none"/>
                <w14:textFill>
                  <w14:solidFill>
                    <w14:schemeClr w14:val="tx1"/>
                  </w14:solidFill>
                </w14:textFill>
              </w:rPr>
              <w:t>分，否则不得分；</w:t>
            </w:r>
          </w:p>
          <w:p>
            <w:pPr>
              <w:widowControl/>
              <w:textAlignment w:val="center"/>
              <w:rPr>
                <w:rStyle w:val="14"/>
                <w:rFonts w:hint="default" w:ascii="Times New Roman" w:hAnsi="Times New Roman"/>
                <w:color w:val="000000" w:themeColor="text1"/>
                <w:sz w:val="20"/>
                <w:szCs w:val="20"/>
                <w:highlight w:val="none"/>
                <w14:textFill>
                  <w14:solidFill>
                    <w14:schemeClr w14:val="tx1"/>
                  </w14:solidFill>
                </w14:textFill>
              </w:rPr>
            </w:pPr>
            <w:r>
              <w:rPr>
                <w:rStyle w:val="14"/>
                <w:rFonts w:hint="default"/>
                <w:color w:val="000000" w:themeColor="text1"/>
                <w:sz w:val="20"/>
                <w:szCs w:val="20"/>
                <w:highlight w:val="none"/>
                <w14:textFill>
                  <w14:solidFill>
                    <w14:schemeClr w14:val="tx1"/>
                  </w14:solidFill>
                </w14:textFill>
              </w:rPr>
              <w:t>③</w:t>
            </w:r>
            <w:r>
              <w:rPr>
                <w:rStyle w:val="14"/>
                <w:rFonts w:hint="default" w:ascii="Times New Roman" w:hAnsi="Times New Roman"/>
                <w:color w:val="000000" w:themeColor="text1"/>
                <w:sz w:val="20"/>
                <w:szCs w:val="20"/>
                <w:highlight w:val="none"/>
                <w14:textFill>
                  <w14:solidFill>
                    <w14:schemeClr w14:val="tx1"/>
                  </w14:solidFill>
                </w14:textFill>
              </w:rPr>
              <w:t>符合部门制定的发展实施规划，计</w:t>
            </w:r>
            <w:r>
              <w:rPr>
                <w:rStyle w:val="15"/>
                <w:rFonts w:hint="eastAsia"/>
                <w:color w:val="000000" w:themeColor="text1"/>
                <w:sz w:val="20"/>
                <w:szCs w:val="20"/>
                <w:highlight w:val="none"/>
                <w:lang w:val="en-US" w:eastAsia="zh-CN"/>
                <w14:textFill>
                  <w14:solidFill>
                    <w14:schemeClr w14:val="tx1"/>
                  </w14:solidFill>
                </w14:textFill>
              </w:rPr>
              <w:t>0.5</w:t>
            </w:r>
            <w:r>
              <w:rPr>
                <w:rStyle w:val="14"/>
                <w:rFonts w:hint="default" w:ascii="Times New Roman" w:hAnsi="Times New Roman"/>
                <w:color w:val="000000" w:themeColor="text1"/>
                <w:sz w:val="20"/>
                <w:szCs w:val="20"/>
                <w:highlight w:val="none"/>
                <w14:textFill>
                  <w14:solidFill>
                    <w14:schemeClr w14:val="tx1"/>
                  </w14:solidFill>
                </w14:textFill>
              </w:rPr>
              <w:t>分，否则不得分。</w:t>
            </w:r>
          </w:p>
          <w:p>
            <w:pPr>
              <w:widowControl/>
              <w:textAlignment w:val="center"/>
              <w:rPr>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④按相关要求分别制定了整体绩效目标和项目绩效目标，计0.5分，否则不得分</w:t>
            </w:r>
            <w:r>
              <w:rPr>
                <w:rStyle w:val="14"/>
                <w:rFonts w:hint="default" w:ascii="Times New Roman" w:hAnsi="Times New Roman"/>
                <w:color w:val="000000" w:themeColor="text1"/>
                <w:sz w:val="20"/>
                <w:szCs w:val="20"/>
                <w:highlight w:val="none"/>
                <w14:textFill>
                  <w14:solidFill>
                    <w14:schemeClr w14:val="tx1"/>
                  </w14:solidFill>
                </w14:textFill>
              </w:rPr>
              <w:t>。</w:t>
            </w:r>
          </w:p>
        </w:tc>
        <w:tc>
          <w:tcPr>
            <w:tcW w:w="778" w:type="dxa"/>
            <w:tcMar>
              <w:top w:w="15" w:type="dxa"/>
              <w:left w:w="15" w:type="dxa"/>
              <w:right w:w="15" w:type="dxa"/>
            </w:tcMar>
            <w:vAlign w:val="center"/>
          </w:tcPr>
          <w:p>
            <w:pPr>
              <w:widowControl/>
              <w:jc w:val="center"/>
              <w:textAlignment w:val="center"/>
              <w:rPr>
                <w:rStyle w:val="14"/>
                <w:rFonts w:hint="eastAsia" w:eastAsia="宋体"/>
                <w:sz w:val="20"/>
                <w:szCs w:val="20"/>
                <w:highlight w:val="none"/>
                <w:lang w:val="en-US" w:eastAsia="zh-CN"/>
              </w:rPr>
            </w:pPr>
            <w:r>
              <w:rPr>
                <w:rStyle w:val="14"/>
                <w:rFonts w:hint="eastAsia" w:eastAsia="宋体"/>
                <w:sz w:val="20"/>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2" w:hRule="atLeast"/>
        </w:trPr>
        <w:tc>
          <w:tcPr>
            <w:tcW w:w="868" w:type="dxa"/>
            <w:vMerge w:val="continue"/>
            <w:tcMar>
              <w:top w:w="15" w:type="dxa"/>
              <w:left w:w="15" w:type="dxa"/>
              <w:right w:w="15" w:type="dxa"/>
            </w:tcMar>
            <w:vAlign w:val="center"/>
          </w:tcPr>
          <w:p>
            <w:pPr>
              <w:widowControl/>
              <w:jc w:val="center"/>
              <w:rPr>
                <w:color w:val="000000"/>
                <w:sz w:val="20"/>
                <w:szCs w:val="20"/>
                <w:highlight w:val="none"/>
              </w:rPr>
            </w:pPr>
          </w:p>
        </w:tc>
        <w:tc>
          <w:tcPr>
            <w:tcW w:w="737" w:type="dxa"/>
            <w:vMerge w:val="continue"/>
            <w:tcMar>
              <w:top w:w="15" w:type="dxa"/>
              <w:left w:w="15" w:type="dxa"/>
              <w:right w:w="15" w:type="dxa"/>
            </w:tcMar>
            <w:vAlign w:val="center"/>
          </w:tcPr>
          <w:p>
            <w:pPr>
              <w:widowControl/>
              <w:jc w:val="center"/>
              <w:rPr>
                <w:color w:val="000000"/>
                <w:sz w:val="20"/>
                <w:szCs w:val="20"/>
                <w:highlight w:val="none"/>
              </w:rPr>
            </w:pPr>
          </w:p>
        </w:tc>
        <w:tc>
          <w:tcPr>
            <w:tcW w:w="833"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绩效指标</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明确性</w:t>
            </w:r>
          </w:p>
        </w:tc>
        <w:tc>
          <w:tcPr>
            <w:tcW w:w="568" w:type="dxa"/>
            <w:tcMar>
              <w:top w:w="15" w:type="dxa"/>
              <w:left w:w="15" w:type="dxa"/>
              <w:right w:w="15" w:type="dxa"/>
            </w:tcMar>
            <w:vAlign w:val="center"/>
          </w:tcPr>
          <w:p>
            <w:pPr>
              <w:widowControl/>
              <w:jc w:val="center"/>
              <w:textAlignment w:val="center"/>
              <w:rPr>
                <w:rFonts w:hint="eastAsia" w:eastAsia="宋体"/>
                <w:color w:val="000000"/>
                <w:sz w:val="20"/>
                <w:szCs w:val="20"/>
                <w:highlight w:val="none"/>
                <w:lang w:eastAsia="zh-CN"/>
              </w:rPr>
            </w:pPr>
            <w:r>
              <w:rPr>
                <w:rFonts w:hint="eastAsia"/>
                <w:color w:val="000000"/>
                <w:kern w:val="0"/>
                <w:sz w:val="20"/>
                <w:szCs w:val="20"/>
                <w:highlight w:val="none"/>
                <w:lang w:val="en-US" w:eastAsia="zh-CN"/>
              </w:rPr>
              <w:t>4</w:t>
            </w:r>
          </w:p>
        </w:tc>
        <w:tc>
          <w:tcPr>
            <w:tcW w:w="2808" w:type="dxa"/>
            <w:tcMar>
              <w:top w:w="15" w:type="dxa"/>
              <w:left w:w="15" w:type="dxa"/>
              <w:right w:w="15" w:type="dxa"/>
            </w:tcMar>
            <w:vAlign w:val="center"/>
          </w:tcPr>
          <w:p>
            <w:pPr>
              <w:widowControl/>
              <w:jc w:val="left"/>
              <w:textAlignment w:val="center"/>
              <w:rPr>
                <w:rStyle w:val="15"/>
                <w:rFonts w:hint="eastAsia" w:eastAsiaTheme="minorEastAsia"/>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是否将部门整体的绩效目标细化分解为具体的工作任务；</w:t>
            </w:r>
            <w:r>
              <w:rPr>
                <w:rStyle w:val="15"/>
                <w:sz w:val="20"/>
                <w:szCs w:val="20"/>
                <w:highlight w:val="none"/>
              </w:rPr>
              <w:t xml:space="preserve"> </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是否通过清晰、可衡量的指标值予以体现。</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③</w:t>
            </w:r>
            <w:r>
              <w:rPr>
                <w:rStyle w:val="14"/>
                <w:rFonts w:hint="default" w:ascii="Times New Roman" w:hAnsi="Times New Roman"/>
                <w:sz w:val="20"/>
                <w:szCs w:val="20"/>
                <w:highlight w:val="none"/>
              </w:rPr>
              <w:t>是否与部门年度的任务数或计划数相对应；</w:t>
            </w:r>
          </w:p>
          <w:p>
            <w:pPr>
              <w:widowControl/>
              <w:jc w:val="left"/>
              <w:textAlignment w:val="center"/>
              <w:rPr>
                <w:rStyle w:val="14"/>
                <w:rFonts w:hint="default" w:ascii="Times New Roman" w:hAnsi="Times New Roman"/>
                <w:sz w:val="20"/>
                <w:szCs w:val="20"/>
                <w:highlight w:val="none"/>
              </w:rPr>
            </w:pPr>
            <w:r>
              <w:rPr>
                <w:rStyle w:val="14"/>
                <w:rFonts w:hint="default"/>
                <w:sz w:val="20"/>
                <w:szCs w:val="20"/>
                <w:highlight w:val="none"/>
              </w:rPr>
              <w:t>④</w:t>
            </w:r>
            <w:r>
              <w:rPr>
                <w:rStyle w:val="14"/>
                <w:rFonts w:hint="default" w:ascii="Times New Roman" w:hAnsi="Times New Roman"/>
                <w:sz w:val="20"/>
                <w:szCs w:val="20"/>
                <w:highlight w:val="none"/>
              </w:rPr>
              <w:t>是否与本年度部门预算资金相匹配。</w:t>
            </w:r>
          </w:p>
          <w:p>
            <w:pPr>
              <w:widowControl/>
              <w:jc w:val="left"/>
              <w:textAlignment w:val="center"/>
              <w:rPr>
                <w:color w:val="000000"/>
                <w:sz w:val="20"/>
                <w:szCs w:val="20"/>
                <w:highlight w:val="none"/>
              </w:rPr>
            </w:pPr>
            <w:r>
              <w:rPr>
                <w:rFonts w:hint="eastAsia"/>
                <w:color w:val="000000"/>
                <w:sz w:val="20"/>
                <w:szCs w:val="20"/>
                <w:highlight w:val="none"/>
              </w:rPr>
              <w:t>⑤</w:t>
            </w:r>
            <w:r>
              <w:rPr>
                <w:rStyle w:val="14"/>
                <w:rFonts w:hint="default" w:ascii="Times New Roman" w:hAnsi="Times New Roman"/>
                <w:color w:val="000000" w:themeColor="text1"/>
                <w:sz w:val="20"/>
                <w:szCs w:val="20"/>
                <w:highlight w:val="none"/>
                <w14:textFill>
                  <w14:solidFill>
                    <w14:schemeClr w14:val="tx1"/>
                  </w14:solidFill>
                </w14:textFill>
              </w:rPr>
              <w:t>公共</w:t>
            </w:r>
            <w:r>
              <w:rPr>
                <w:rFonts w:hint="eastAsia"/>
                <w:color w:val="000000"/>
                <w:sz w:val="20"/>
                <w:szCs w:val="20"/>
                <w:highlight w:val="none"/>
              </w:rPr>
              <w:t>项目绩效指标是否细化、是否具有明确性。</w:t>
            </w:r>
          </w:p>
        </w:tc>
        <w:tc>
          <w:tcPr>
            <w:tcW w:w="3338" w:type="dxa"/>
            <w:tcMar>
              <w:top w:w="15" w:type="dxa"/>
              <w:left w:w="15" w:type="dxa"/>
              <w:right w:w="15" w:type="dxa"/>
            </w:tcMar>
            <w:vAlign w:val="center"/>
          </w:tcPr>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有目标，计</w:t>
            </w:r>
            <w:r>
              <w:rPr>
                <w:rStyle w:val="14"/>
                <w:rFonts w:hint="eastAsia" w:ascii="Times New Roman" w:hAnsi="Times New Roman"/>
                <w:sz w:val="20"/>
                <w:szCs w:val="20"/>
                <w:highlight w:val="none"/>
                <w:lang w:val="en-US" w:eastAsia="zh-CN"/>
              </w:rPr>
              <w:t>0.5</w:t>
            </w:r>
            <w:r>
              <w:rPr>
                <w:rStyle w:val="14"/>
                <w:rFonts w:hint="default" w:ascii="Times New Roman" w:hAnsi="Times New Roman"/>
                <w:sz w:val="20"/>
                <w:szCs w:val="20"/>
                <w:highlight w:val="none"/>
              </w:rPr>
              <w:t>分，否则不得分；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目标明确，细化量化良好，个性指标中量化指标超过</w:t>
            </w:r>
            <w:r>
              <w:rPr>
                <w:rStyle w:val="15"/>
                <w:sz w:val="20"/>
                <w:szCs w:val="20"/>
                <w:highlight w:val="none"/>
              </w:rPr>
              <w:t>3</w:t>
            </w:r>
            <w:r>
              <w:rPr>
                <w:rStyle w:val="14"/>
                <w:rFonts w:hint="default" w:ascii="Times New Roman" w:hAnsi="Times New Roman"/>
                <w:sz w:val="20"/>
                <w:szCs w:val="20"/>
                <w:highlight w:val="none"/>
              </w:rPr>
              <w:t>个，计1分，量化指标为</w:t>
            </w:r>
            <w:r>
              <w:rPr>
                <w:rStyle w:val="15"/>
                <w:sz w:val="20"/>
                <w:szCs w:val="20"/>
                <w:highlight w:val="none"/>
              </w:rPr>
              <w:t>2</w:t>
            </w:r>
            <w:r>
              <w:rPr>
                <w:rStyle w:val="14"/>
                <w:rFonts w:hint="default" w:ascii="Times New Roman" w:hAnsi="Times New Roman"/>
                <w:sz w:val="20"/>
                <w:szCs w:val="20"/>
                <w:highlight w:val="none"/>
              </w:rPr>
              <w:t>个，计</w:t>
            </w:r>
            <w:r>
              <w:rPr>
                <w:rStyle w:val="15"/>
                <w:sz w:val="20"/>
                <w:szCs w:val="20"/>
                <w:highlight w:val="none"/>
              </w:rPr>
              <w:t>0.5</w:t>
            </w:r>
            <w:r>
              <w:rPr>
                <w:rStyle w:val="14"/>
                <w:rFonts w:hint="default" w:ascii="Times New Roman" w:hAnsi="Times New Roman"/>
                <w:sz w:val="20"/>
                <w:szCs w:val="20"/>
                <w:highlight w:val="none"/>
              </w:rPr>
              <w:t>分，</w:t>
            </w:r>
            <w:r>
              <w:rPr>
                <w:rStyle w:val="15"/>
                <w:sz w:val="20"/>
                <w:szCs w:val="20"/>
                <w:highlight w:val="none"/>
              </w:rPr>
              <w:t>2</w:t>
            </w:r>
            <w:r>
              <w:rPr>
                <w:rStyle w:val="14"/>
                <w:rFonts w:hint="default" w:ascii="Times New Roman" w:hAnsi="Times New Roman"/>
                <w:sz w:val="20"/>
                <w:szCs w:val="20"/>
                <w:highlight w:val="none"/>
              </w:rPr>
              <w:t>个以下不得分；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③</w:t>
            </w:r>
            <w:r>
              <w:rPr>
                <w:rStyle w:val="14"/>
                <w:rFonts w:hint="default" w:ascii="Times New Roman" w:hAnsi="Times New Roman"/>
                <w:sz w:val="20"/>
                <w:szCs w:val="20"/>
                <w:highlight w:val="none"/>
              </w:rPr>
              <w:t>与年度任务数或计划数相对应，计1分，低于</w:t>
            </w:r>
            <w:r>
              <w:rPr>
                <w:rStyle w:val="15"/>
                <w:sz w:val="20"/>
                <w:szCs w:val="20"/>
                <w:highlight w:val="none"/>
              </w:rPr>
              <w:t>2</w:t>
            </w:r>
            <w:r>
              <w:rPr>
                <w:rStyle w:val="14"/>
                <w:rFonts w:hint="default" w:ascii="Times New Roman" w:hAnsi="Times New Roman"/>
                <w:sz w:val="20"/>
                <w:szCs w:val="20"/>
                <w:highlight w:val="none"/>
              </w:rPr>
              <w:t>个，计0.5分，低于</w:t>
            </w:r>
            <w:r>
              <w:rPr>
                <w:rStyle w:val="15"/>
                <w:sz w:val="20"/>
                <w:szCs w:val="20"/>
                <w:highlight w:val="none"/>
              </w:rPr>
              <w:t>4</w:t>
            </w:r>
            <w:r>
              <w:rPr>
                <w:rStyle w:val="14"/>
                <w:rFonts w:hint="default" w:ascii="Times New Roman" w:hAnsi="Times New Roman"/>
                <w:sz w:val="20"/>
                <w:szCs w:val="20"/>
                <w:highlight w:val="none"/>
              </w:rPr>
              <w:t>个不得分；</w:t>
            </w:r>
          </w:p>
          <w:p>
            <w:pPr>
              <w:widowControl/>
              <w:textAlignment w:val="center"/>
              <w:rPr>
                <w:rStyle w:val="14"/>
                <w:rFonts w:hint="default" w:ascii="Times New Roman" w:hAnsi="Times New Roman"/>
                <w:sz w:val="20"/>
                <w:szCs w:val="20"/>
                <w:highlight w:val="none"/>
              </w:rPr>
            </w:pPr>
            <w:r>
              <w:rPr>
                <w:rStyle w:val="14"/>
                <w:rFonts w:hint="default"/>
                <w:sz w:val="20"/>
                <w:szCs w:val="20"/>
                <w:highlight w:val="none"/>
              </w:rPr>
              <w:t>④</w:t>
            </w:r>
            <w:r>
              <w:rPr>
                <w:rStyle w:val="14"/>
                <w:rFonts w:hint="default" w:ascii="Times New Roman" w:hAnsi="Times New Roman"/>
                <w:sz w:val="20"/>
                <w:szCs w:val="20"/>
                <w:highlight w:val="none"/>
              </w:rPr>
              <w:t>目标与资金匹配良好，逻辑关系明确，计</w:t>
            </w:r>
            <w:r>
              <w:rPr>
                <w:rStyle w:val="14"/>
                <w:rFonts w:hint="eastAsia" w:ascii="Times New Roman" w:hAnsi="Times New Roman"/>
                <w:sz w:val="20"/>
                <w:szCs w:val="20"/>
                <w:highlight w:val="none"/>
                <w:lang w:val="en-US" w:eastAsia="zh-CN"/>
              </w:rPr>
              <w:t>0.5</w:t>
            </w:r>
            <w:r>
              <w:rPr>
                <w:rStyle w:val="14"/>
                <w:rFonts w:hint="default" w:ascii="Times New Roman" w:hAnsi="Times New Roman"/>
                <w:sz w:val="20"/>
                <w:szCs w:val="20"/>
                <w:highlight w:val="none"/>
              </w:rPr>
              <w:t>分，否则不得分。</w:t>
            </w:r>
          </w:p>
          <w:p>
            <w:pPr>
              <w:widowControl/>
              <w:textAlignment w:val="center"/>
              <w:rPr>
                <w:color w:val="000000" w:themeColor="text1"/>
                <w:sz w:val="20"/>
                <w:szCs w:val="20"/>
                <w:highlight w:val="none"/>
                <w14:textFill>
                  <w14:solidFill>
                    <w14:schemeClr w14:val="tx1"/>
                  </w14:solidFill>
                </w14:textFill>
              </w:rPr>
            </w:pPr>
            <w:r>
              <w:rPr>
                <w:rFonts w:hint="eastAsia"/>
                <w:color w:val="000000"/>
                <w:sz w:val="20"/>
                <w:szCs w:val="20"/>
                <w:highlight w:val="none"/>
              </w:rPr>
              <w:t>⑤公共项目绩效指标细化、明确性，计1分</w:t>
            </w:r>
            <w:r>
              <w:rPr>
                <w:rStyle w:val="14"/>
                <w:rFonts w:hint="default" w:ascii="Times New Roman" w:hAnsi="Times New Roman"/>
                <w:sz w:val="20"/>
                <w:szCs w:val="20"/>
                <w:highlight w:val="none"/>
              </w:rPr>
              <w:t>，存在</w:t>
            </w:r>
            <w:r>
              <w:rPr>
                <w:rStyle w:val="15"/>
                <w:sz w:val="20"/>
                <w:szCs w:val="20"/>
                <w:highlight w:val="none"/>
              </w:rPr>
              <w:t>4</w:t>
            </w:r>
            <w:r>
              <w:rPr>
                <w:rStyle w:val="14"/>
                <w:rFonts w:hint="default" w:ascii="Times New Roman" w:hAnsi="Times New Roman"/>
                <w:sz w:val="20"/>
                <w:szCs w:val="20"/>
                <w:highlight w:val="none"/>
              </w:rPr>
              <w:t>个及以上</w:t>
            </w:r>
            <w:r>
              <w:rPr>
                <w:rStyle w:val="14"/>
                <w:rFonts w:hint="default" w:ascii="Times New Roman" w:hAnsi="Times New Roman"/>
                <w:color w:val="000000" w:themeColor="text1"/>
                <w:sz w:val="20"/>
                <w:szCs w:val="20"/>
                <w:highlight w:val="none"/>
                <w14:textFill>
                  <w14:solidFill>
                    <w14:schemeClr w14:val="tx1"/>
                  </w14:solidFill>
                </w14:textFill>
              </w:rPr>
              <w:t>公共</w:t>
            </w:r>
            <w:r>
              <w:rPr>
                <w:rFonts w:hint="eastAsia"/>
                <w:color w:val="000000"/>
                <w:sz w:val="20"/>
                <w:szCs w:val="20"/>
                <w:highlight w:val="none"/>
              </w:rPr>
              <w:t>项目绩效指标未细化、不具有明确性</w:t>
            </w:r>
            <w:r>
              <w:rPr>
                <w:rStyle w:val="14"/>
                <w:rFonts w:hint="default" w:ascii="Times New Roman" w:hAnsi="Times New Roman"/>
                <w:sz w:val="20"/>
                <w:szCs w:val="20"/>
                <w:highlight w:val="none"/>
              </w:rPr>
              <w:t>不得分</w:t>
            </w:r>
            <w:r>
              <w:rPr>
                <w:rFonts w:hint="eastAsia"/>
                <w:color w:val="000000"/>
                <w:sz w:val="20"/>
                <w:szCs w:val="20"/>
                <w:highlight w:val="none"/>
              </w:rPr>
              <w:t>。</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68" w:type="dxa"/>
            <w:vMerge w:val="continue"/>
            <w:tcMar>
              <w:top w:w="15" w:type="dxa"/>
              <w:left w:w="15" w:type="dxa"/>
              <w:right w:w="15" w:type="dxa"/>
            </w:tcMar>
            <w:vAlign w:val="center"/>
          </w:tcPr>
          <w:p>
            <w:pPr>
              <w:widowControl/>
              <w:jc w:val="center"/>
              <w:rPr>
                <w:color w:val="000000"/>
                <w:sz w:val="20"/>
                <w:szCs w:val="20"/>
                <w:highlight w:val="none"/>
              </w:rPr>
            </w:pPr>
          </w:p>
        </w:tc>
        <w:tc>
          <w:tcPr>
            <w:tcW w:w="737" w:type="dxa"/>
            <w:vMerge w:val="restart"/>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预算</w:t>
            </w:r>
          </w:p>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配置</w:t>
            </w:r>
          </w:p>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w:t>
            </w:r>
            <w:r>
              <w:rPr>
                <w:rStyle w:val="15"/>
                <w:rFonts w:hint="eastAsia"/>
                <w:sz w:val="20"/>
                <w:szCs w:val="20"/>
                <w:highlight w:val="none"/>
                <w:lang w:val="en-US" w:eastAsia="zh-CN"/>
              </w:rPr>
              <w:t>3</w:t>
            </w:r>
            <w:r>
              <w:rPr>
                <w:rStyle w:val="14"/>
                <w:rFonts w:hint="default" w:ascii="Times New Roman" w:hAnsi="Times New Roman"/>
                <w:sz w:val="20"/>
                <w:szCs w:val="20"/>
                <w:highlight w:val="none"/>
              </w:rPr>
              <w:t>分）</w:t>
            </w: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人员</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控制率</w:t>
            </w:r>
          </w:p>
        </w:tc>
        <w:tc>
          <w:tcPr>
            <w:tcW w:w="568" w:type="dxa"/>
            <w:tcMar>
              <w:top w:w="15" w:type="dxa"/>
              <w:left w:w="15" w:type="dxa"/>
              <w:right w:w="15" w:type="dxa"/>
            </w:tcMar>
            <w:vAlign w:val="center"/>
          </w:tcPr>
          <w:p>
            <w:pPr>
              <w:widowControl/>
              <w:jc w:val="center"/>
              <w:textAlignment w:val="center"/>
              <w:rPr>
                <w:rFonts w:hint="eastAsia" w:eastAsia="宋体"/>
                <w:color w:val="000000"/>
                <w:sz w:val="20"/>
                <w:szCs w:val="20"/>
                <w:highlight w:val="none"/>
                <w:lang w:eastAsia="zh-CN"/>
              </w:rPr>
            </w:pPr>
            <w:r>
              <w:rPr>
                <w:rFonts w:hint="eastAsia"/>
                <w:color w:val="000000"/>
                <w:kern w:val="0"/>
                <w:sz w:val="20"/>
                <w:szCs w:val="20"/>
                <w:highlight w:val="none"/>
                <w:lang w:val="en-US" w:eastAsia="zh-CN"/>
              </w:rPr>
              <w:t>2</w:t>
            </w:r>
          </w:p>
        </w:tc>
        <w:tc>
          <w:tcPr>
            <w:tcW w:w="2808" w:type="dxa"/>
            <w:tcMar>
              <w:top w:w="15" w:type="dxa"/>
              <w:left w:w="15" w:type="dxa"/>
              <w:right w:w="15" w:type="dxa"/>
            </w:tcMar>
            <w:vAlign w:val="center"/>
          </w:tcPr>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在职人员控制率</w:t>
            </w:r>
            <w:r>
              <w:rPr>
                <w:rStyle w:val="15"/>
                <w:sz w:val="20"/>
                <w:szCs w:val="20"/>
                <w:highlight w:val="none"/>
              </w:rPr>
              <w:t>=</w:t>
            </w:r>
            <w:r>
              <w:rPr>
                <w:rStyle w:val="14"/>
                <w:rFonts w:hint="default" w:ascii="Times New Roman" w:hAnsi="Times New Roman"/>
                <w:sz w:val="20"/>
                <w:szCs w:val="20"/>
                <w:highlight w:val="none"/>
              </w:rPr>
              <w:t>（在职人员数</w:t>
            </w:r>
            <w:r>
              <w:rPr>
                <w:rStyle w:val="15"/>
                <w:sz w:val="20"/>
                <w:szCs w:val="20"/>
                <w:highlight w:val="none"/>
              </w:rPr>
              <w:t>/</w:t>
            </w:r>
            <w:r>
              <w:rPr>
                <w:rStyle w:val="14"/>
                <w:rFonts w:hint="default" w:ascii="Times New Roman" w:hAnsi="Times New Roman"/>
                <w:sz w:val="20"/>
                <w:szCs w:val="20"/>
                <w:highlight w:val="none"/>
              </w:rPr>
              <w:t>编制数）</w:t>
            </w:r>
            <w:r>
              <w:rPr>
                <w:rStyle w:val="15"/>
                <w:sz w:val="20"/>
                <w:szCs w:val="20"/>
                <w:highlight w:val="none"/>
              </w:rPr>
              <w:t>×100%</w:t>
            </w:r>
            <w:r>
              <w:rPr>
                <w:rStyle w:val="14"/>
                <w:rFonts w:hint="default" w:ascii="Times New Roman" w:hAnsi="Times New Roman"/>
                <w:sz w:val="20"/>
                <w:szCs w:val="20"/>
                <w:highlight w:val="none"/>
              </w:rPr>
              <w:t>。</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聘用人员控制率</w:t>
            </w:r>
            <w:r>
              <w:rPr>
                <w:rStyle w:val="14"/>
                <w:rFonts w:hint="default"/>
                <w:sz w:val="20"/>
                <w:szCs w:val="20"/>
                <w:highlight w:val="none"/>
              </w:rPr>
              <w:t>≦</w:t>
            </w:r>
            <w:r>
              <w:rPr>
                <w:rStyle w:val="14"/>
                <w:rFonts w:hint="default" w:ascii="Times New Roman" w:hAnsi="Times New Roman"/>
                <w:sz w:val="20"/>
                <w:szCs w:val="20"/>
                <w:highlight w:val="none"/>
              </w:rPr>
              <w:t>人社和编办共同批复的人数；</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在职人员数：部门（单位）实际在职人数</w:t>
            </w:r>
            <w:r>
              <w:rPr>
                <w:rStyle w:val="15"/>
                <w:sz w:val="20"/>
                <w:szCs w:val="20"/>
                <w:highlight w:val="none"/>
              </w:rPr>
              <w:t>，</w:t>
            </w:r>
            <w:r>
              <w:rPr>
                <w:rStyle w:val="14"/>
                <w:rFonts w:hint="default" w:ascii="Times New Roman" w:hAnsi="Times New Roman"/>
                <w:sz w:val="20"/>
                <w:szCs w:val="20"/>
                <w:highlight w:val="none"/>
              </w:rPr>
              <w:t>以财政部门确定的部门决算编制口径为准。</w:t>
            </w:r>
          </w:p>
          <w:p>
            <w:pPr>
              <w:widowControl/>
              <w:jc w:val="left"/>
              <w:textAlignment w:val="center"/>
              <w:rPr>
                <w:color w:val="000000"/>
                <w:sz w:val="20"/>
                <w:szCs w:val="20"/>
                <w:highlight w:val="none"/>
              </w:rPr>
            </w:pPr>
            <w:r>
              <w:rPr>
                <w:rStyle w:val="14"/>
                <w:rFonts w:hint="default" w:ascii="Times New Roman" w:hAnsi="Times New Roman"/>
                <w:sz w:val="20"/>
                <w:szCs w:val="20"/>
                <w:highlight w:val="none"/>
              </w:rPr>
              <w:t>编制数：机构编制部门核定批复的部门（单位）的人员编制数。</w:t>
            </w:r>
          </w:p>
        </w:tc>
        <w:tc>
          <w:tcPr>
            <w:tcW w:w="3338" w:type="dxa"/>
            <w:tcMar>
              <w:top w:w="15" w:type="dxa"/>
              <w:left w:w="15" w:type="dxa"/>
              <w:right w:w="15" w:type="dxa"/>
            </w:tcMar>
            <w:vAlign w:val="center"/>
          </w:tcPr>
          <w:p>
            <w:pPr>
              <w:widowControl/>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在职人员控制率</w:t>
            </w:r>
            <w:r>
              <w:rPr>
                <w:rStyle w:val="14"/>
                <w:rFonts w:hint="default"/>
                <w:sz w:val="20"/>
                <w:szCs w:val="20"/>
                <w:highlight w:val="none"/>
              </w:rPr>
              <w:t>≦</w:t>
            </w:r>
            <w:r>
              <w:rPr>
                <w:rStyle w:val="15"/>
                <w:sz w:val="20"/>
                <w:szCs w:val="20"/>
                <w:highlight w:val="none"/>
              </w:rPr>
              <w:t>100%</w:t>
            </w:r>
            <w:r>
              <w:rPr>
                <w:rStyle w:val="14"/>
                <w:rFonts w:hint="default" w:ascii="Times New Roman" w:hAnsi="Times New Roman"/>
                <w:sz w:val="20"/>
                <w:szCs w:val="20"/>
                <w:highlight w:val="none"/>
              </w:rPr>
              <w:t>计</w:t>
            </w:r>
            <w:r>
              <w:rPr>
                <w:rStyle w:val="15"/>
                <w:rFonts w:hint="eastAsia"/>
                <w:sz w:val="20"/>
                <w:szCs w:val="20"/>
                <w:highlight w:val="none"/>
                <w:lang w:val="en-US" w:eastAsia="zh-CN"/>
              </w:rPr>
              <w:t>1</w:t>
            </w:r>
            <w:r>
              <w:rPr>
                <w:rStyle w:val="14"/>
                <w:rFonts w:hint="default" w:ascii="Times New Roman" w:hAnsi="Times New Roman"/>
                <w:sz w:val="20"/>
                <w:szCs w:val="20"/>
                <w:highlight w:val="none"/>
              </w:rPr>
              <w:t>分，每超出</w:t>
            </w:r>
            <w:r>
              <w:rPr>
                <w:rStyle w:val="15"/>
                <w:sz w:val="20"/>
                <w:szCs w:val="20"/>
                <w:highlight w:val="none"/>
              </w:rPr>
              <w:t>1%</w:t>
            </w:r>
            <w:r>
              <w:rPr>
                <w:rStyle w:val="14"/>
                <w:rFonts w:hint="default" w:ascii="Times New Roman" w:hAnsi="Times New Roman"/>
                <w:sz w:val="20"/>
                <w:szCs w:val="20"/>
                <w:highlight w:val="none"/>
              </w:rPr>
              <w:t>扣</w:t>
            </w:r>
            <w:r>
              <w:rPr>
                <w:rStyle w:val="15"/>
                <w:sz w:val="20"/>
                <w:szCs w:val="20"/>
                <w:highlight w:val="none"/>
              </w:rPr>
              <w:t>0.2</w:t>
            </w:r>
            <w:r>
              <w:rPr>
                <w:rStyle w:val="14"/>
                <w:rFonts w:hint="default" w:ascii="Times New Roman" w:hAnsi="Times New Roman"/>
                <w:sz w:val="20"/>
                <w:szCs w:val="20"/>
                <w:highlight w:val="none"/>
              </w:rPr>
              <w:t>分，扣完为止。</w:t>
            </w:r>
          </w:p>
          <w:p>
            <w:pPr>
              <w:widowControl/>
              <w:textAlignment w:val="center"/>
              <w:rPr>
                <w:color w:val="000000"/>
                <w:sz w:val="20"/>
                <w:szCs w:val="20"/>
                <w:highlight w:val="none"/>
              </w:rPr>
            </w:pPr>
            <w:r>
              <w:rPr>
                <w:rStyle w:val="16"/>
                <w:rFonts w:hint="default" w:ascii="Times New Roman" w:hAnsi="Times New Roman"/>
                <w:color w:val="000000"/>
                <w:sz w:val="20"/>
                <w:szCs w:val="20"/>
                <w:highlight w:val="none"/>
              </w:rPr>
              <w:t>聘用人员实际使用数小于等于编办人社部门批复数，计</w:t>
            </w:r>
            <w:r>
              <w:rPr>
                <w:rStyle w:val="17"/>
                <w:rFonts w:hint="eastAsia"/>
                <w:color w:val="000000"/>
                <w:sz w:val="20"/>
                <w:szCs w:val="20"/>
                <w:highlight w:val="none"/>
                <w:lang w:val="en-US" w:eastAsia="zh-CN"/>
              </w:rPr>
              <w:t>1</w:t>
            </w:r>
            <w:r>
              <w:rPr>
                <w:rStyle w:val="16"/>
                <w:rFonts w:hint="default" w:ascii="Times New Roman" w:hAnsi="Times New Roman"/>
                <w:color w:val="000000"/>
                <w:sz w:val="20"/>
                <w:szCs w:val="20"/>
                <w:highlight w:val="none"/>
              </w:rPr>
              <w:t>分，否则不得分。</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6" w:hRule="atLeast"/>
        </w:trPr>
        <w:tc>
          <w:tcPr>
            <w:tcW w:w="868" w:type="dxa"/>
            <w:vMerge w:val="continue"/>
            <w:tcMar>
              <w:top w:w="15" w:type="dxa"/>
              <w:left w:w="15" w:type="dxa"/>
              <w:right w:w="15" w:type="dxa"/>
            </w:tcMar>
            <w:vAlign w:val="center"/>
          </w:tcPr>
          <w:p>
            <w:pPr>
              <w:widowControl/>
              <w:jc w:val="center"/>
              <w:rPr>
                <w:color w:val="000000"/>
                <w:sz w:val="20"/>
                <w:szCs w:val="20"/>
                <w:highlight w:val="none"/>
              </w:rPr>
            </w:pPr>
          </w:p>
        </w:tc>
        <w:tc>
          <w:tcPr>
            <w:tcW w:w="737" w:type="dxa"/>
            <w:vMerge w:val="continue"/>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Fonts w:ascii="Times New Roman" w:hAnsi="Times New Roman"/>
                <w:color w:val="000000"/>
                <w:kern w:val="0"/>
                <w:sz w:val="20"/>
                <w:szCs w:val="20"/>
                <w:highlight w:val="none"/>
              </w:rPr>
              <w:t>“三公经费”变动率</w:t>
            </w:r>
          </w:p>
        </w:tc>
        <w:tc>
          <w:tcPr>
            <w:tcW w:w="568" w:type="dxa"/>
            <w:tcMar>
              <w:top w:w="15" w:type="dxa"/>
              <w:left w:w="15" w:type="dxa"/>
              <w:right w:w="15" w:type="dxa"/>
            </w:tcMar>
            <w:vAlign w:val="center"/>
          </w:tcPr>
          <w:p>
            <w:pPr>
              <w:widowControl/>
              <w:jc w:val="center"/>
              <w:textAlignment w:val="center"/>
              <w:rPr>
                <w:rFonts w:hint="eastAsia" w:eastAsia="宋体"/>
                <w:color w:val="000000"/>
                <w:kern w:val="0"/>
                <w:sz w:val="20"/>
                <w:szCs w:val="20"/>
                <w:highlight w:val="none"/>
                <w:shd w:val="pct10" w:color="auto" w:fill="FFFFFF"/>
                <w:lang w:eastAsia="zh-CN"/>
              </w:rPr>
            </w:pPr>
            <w:r>
              <w:rPr>
                <w:rFonts w:hint="eastAsia"/>
                <w:color w:val="000000"/>
                <w:kern w:val="0"/>
                <w:sz w:val="20"/>
                <w:szCs w:val="20"/>
                <w:highlight w:val="none"/>
                <w:lang w:val="en-US" w:eastAsia="zh-CN"/>
              </w:rPr>
              <w:t>1</w:t>
            </w:r>
          </w:p>
        </w:tc>
        <w:tc>
          <w:tcPr>
            <w:tcW w:w="2808" w:type="dxa"/>
            <w:tcMar>
              <w:top w:w="15" w:type="dxa"/>
              <w:left w:w="15" w:type="dxa"/>
              <w:right w:w="15" w:type="dxa"/>
            </w:tcMar>
            <w:vAlign w:val="center"/>
          </w:tcPr>
          <w:p>
            <w:pPr>
              <w:widowControl/>
              <w:rPr>
                <w:rFonts w:ascii="Times New Roman" w:hAnsi="Times New Roman"/>
                <w:color w:val="000000"/>
                <w:kern w:val="0"/>
                <w:sz w:val="20"/>
                <w:szCs w:val="20"/>
                <w:highlight w:val="none"/>
              </w:rPr>
            </w:pPr>
            <w:r>
              <w:rPr>
                <w:rFonts w:ascii="Times New Roman" w:hAnsi="Times New Roman"/>
                <w:color w:val="000000"/>
                <w:kern w:val="0"/>
                <w:sz w:val="20"/>
                <w:szCs w:val="20"/>
                <w:highlight w:val="none"/>
              </w:rPr>
              <w:t>“三公经费”变动率</w:t>
            </w:r>
            <w:r>
              <w:rPr>
                <w:rFonts w:hint="eastAsia" w:ascii="宋体" w:hAnsi="宋体" w:cs="宋体"/>
                <w:color w:val="000000"/>
                <w:kern w:val="0"/>
                <w:sz w:val="20"/>
                <w:szCs w:val="20"/>
                <w:highlight w:val="none"/>
              </w:rPr>
              <w:t>≦</w:t>
            </w:r>
            <w:r>
              <w:rPr>
                <w:rFonts w:ascii="Times New Roman" w:hAnsi="Times New Roman"/>
                <w:color w:val="000000"/>
                <w:kern w:val="0"/>
                <w:sz w:val="20"/>
                <w:szCs w:val="20"/>
                <w:highlight w:val="none"/>
              </w:rPr>
              <w:t>0</w:t>
            </w:r>
            <w:r>
              <w:rPr>
                <w:rFonts w:hint="eastAsia" w:ascii="Times New Roman" w:hAnsi="Times New Roman"/>
                <w:color w:val="000000"/>
                <w:kern w:val="0"/>
                <w:sz w:val="20"/>
                <w:szCs w:val="20"/>
                <w:highlight w:val="none"/>
              </w:rPr>
              <w:t>，</w:t>
            </w:r>
            <w:r>
              <w:rPr>
                <w:rFonts w:ascii="Times New Roman" w:hAnsi="Times New Roman"/>
                <w:color w:val="000000"/>
                <w:kern w:val="0"/>
                <w:sz w:val="20"/>
                <w:szCs w:val="20"/>
                <w:highlight w:val="none"/>
              </w:rPr>
              <w:t>计</w:t>
            </w:r>
            <w:r>
              <w:rPr>
                <w:rFonts w:hint="eastAsia" w:ascii="Times New Roman" w:hAnsi="Times New Roman"/>
                <w:color w:val="000000"/>
                <w:kern w:val="0"/>
                <w:sz w:val="20"/>
                <w:szCs w:val="20"/>
                <w:highlight w:val="none"/>
                <w:lang w:val="en-US" w:eastAsia="zh-CN"/>
              </w:rPr>
              <w:t>1</w:t>
            </w:r>
            <w:r>
              <w:rPr>
                <w:rFonts w:ascii="Times New Roman" w:hAnsi="Times New Roman"/>
                <w:color w:val="000000"/>
                <w:kern w:val="0"/>
                <w:sz w:val="20"/>
                <w:szCs w:val="20"/>
                <w:highlight w:val="none"/>
              </w:rPr>
              <w:t>分；“三公经费”＞0，每超过一个百分点扣</w:t>
            </w:r>
            <w:r>
              <w:rPr>
                <w:rFonts w:hint="eastAsia" w:ascii="Times New Roman" w:hAnsi="Times New Roman"/>
                <w:color w:val="000000"/>
                <w:kern w:val="0"/>
                <w:sz w:val="20"/>
                <w:szCs w:val="20"/>
                <w:highlight w:val="none"/>
              </w:rPr>
              <w:t>0.</w:t>
            </w:r>
            <w:r>
              <w:rPr>
                <w:rFonts w:hint="eastAsia" w:ascii="Times New Roman" w:hAnsi="Times New Roman"/>
                <w:color w:val="000000"/>
                <w:kern w:val="0"/>
                <w:sz w:val="20"/>
                <w:szCs w:val="20"/>
                <w:highlight w:val="none"/>
                <w:lang w:val="en-US" w:eastAsia="zh-CN"/>
              </w:rPr>
              <w:t>2</w:t>
            </w:r>
            <w:r>
              <w:rPr>
                <w:rFonts w:ascii="Times New Roman" w:hAnsi="Times New Roman"/>
                <w:color w:val="000000"/>
                <w:kern w:val="0"/>
                <w:sz w:val="20"/>
                <w:szCs w:val="20"/>
                <w:highlight w:val="none"/>
              </w:rPr>
              <w:t>分，扣完为止。</w:t>
            </w:r>
          </w:p>
        </w:tc>
        <w:tc>
          <w:tcPr>
            <w:tcW w:w="3338" w:type="dxa"/>
            <w:tcMar>
              <w:top w:w="15" w:type="dxa"/>
              <w:left w:w="15" w:type="dxa"/>
              <w:right w:w="15" w:type="dxa"/>
            </w:tcMar>
            <w:vAlign w:val="center"/>
          </w:tcPr>
          <w:p>
            <w:pPr>
              <w:widowControl/>
              <w:rPr>
                <w:rFonts w:ascii="Times New Roman" w:hAnsi="Times New Roman"/>
                <w:color w:val="000000"/>
                <w:kern w:val="0"/>
                <w:sz w:val="20"/>
                <w:szCs w:val="20"/>
                <w:highlight w:val="none"/>
              </w:rPr>
            </w:pPr>
            <w:r>
              <w:rPr>
                <w:rFonts w:ascii="Times New Roman" w:hAnsi="Times New Roman"/>
                <w:color w:val="000000"/>
                <w:kern w:val="0"/>
                <w:sz w:val="20"/>
                <w:szCs w:val="20"/>
                <w:highlight w:val="none"/>
              </w:rPr>
              <w:t>“三公经费”变动率=[（本年度“三公经费”预算数-上年度“三公经费”预算数）/上年度“三公经费”预算数]×100%</w:t>
            </w:r>
          </w:p>
        </w:tc>
        <w:tc>
          <w:tcPr>
            <w:tcW w:w="778" w:type="dxa"/>
            <w:tcMar>
              <w:top w:w="15" w:type="dxa"/>
              <w:left w:w="15" w:type="dxa"/>
              <w:right w:w="15" w:type="dxa"/>
            </w:tcMar>
            <w:vAlign w:val="center"/>
          </w:tcPr>
          <w:p>
            <w:pPr>
              <w:widowControl/>
              <w:jc w:val="center"/>
              <w:rPr>
                <w:rFonts w:hint="eastAsia" w:ascii="Times New Roman" w:hAnsi="Times New Roman" w:eastAsiaTheme="minorEastAsia"/>
                <w:color w:val="000000"/>
                <w:kern w:val="0"/>
                <w:sz w:val="20"/>
                <w:szCs w:val="20"/>
                <w:highlight w:val="none"/>
                <w:lang w:val="en-US" w:eastAsia="zh-CN"/>
              </w:rPr>
            </w:pPr>
            <w:r>
              <w:rPr>
                <w:rFonts w:hint="eastAsia" w:ascii="Times New Roman" w:hAnsi="Times New Roman"/>
                <w:color w:val="000000"/>
                <w:kern w:val="0"/>
                <w:sz w:val="20"/>
                <w:szCs w:val="20"/>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68" w:type="dxa"/>
            <w:vMerge w:val="restart"/>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ind w:firstLine="200" w:firstLineChars="100"/>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过程</w:t>
            </w:r>
          </w:p>
          <w:p>
            <w:pPr>
              <w:widowControl/>
              <w:ind w:firstLine="200" w:firstLineChars="100"/>
              <w:textAlignment w:val="center"/>
              <w:rPr>
                <w:color w:val="000000"/>
                <w:sz w:val="20"/>
                <w:szCs w:val="20"/>
                <w:highlight w:val="none"/>
              </w:rPr>
            </w:pPr>
            <w:r>
              <w:rPr>
                <w:rStyle w:val="14"/>
                <w:rFonts w:hint="default" w:ascii="Times New Roman" w:hAnsi="Times New Roman"/>
                <w:sz w:val="20"/>
                <w:szCs w:val="20"/>
                <w:highlight w:val="none"/>
              </w:rPr>
              <w:t>（</w:t>
            </w:r>
            <w:r>
              <w:rPr>
                <w:rStyle w:val="15"/>
                <w:rFonts w:hint="eastAsia"/>
                <w:sz w:val="20"/>
                <w:szCs w:val="20"/>
                <w:highlight w:val="none"/>
                <w:lang w:val="en-US" w:eastAsia="zh-CN"/>
              </w:rPr>
              <w:t>41</w:t>
            </w:r>
            <w:r>
              <w:rPr>
                <w:rStyle w:val="14"/>
                <w:rFonts w:hint="default" w:ascii="Times New Roman" w:hAnsi="Times New Roman"/>
                <w:sz w:val="20"/>
                <w:szCs w:val="20"/>
                <w:highlight w:val="none"/>
              </w:rPr>
              <w:t>分）</w:t>
            </w: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jc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过程</w:t>
            </w:r>
          </w:p>
          <w:p>
            <w:pPr>
              <w:jc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w:t>
            </w:r>
            <w:r>
              <w:rPr>
                <w:rStyle w:val="15"/>
                <w:rFonts w:hint="eastAsia"/>
                <w:sz w:val="20"/>
                <w:szCs w:val="20"/>
                <w:highlight w:val="none"/>
                <w:lang w:val="en-US" w:eastAsia="zh-CN"/>
              </w:rPr>
              <w:t>41</w:t>
            </w:r>
            <w:r>
              <w:rPr>
                <w:rStyle w:val="14"/>
                <w:rFonts w:hint="default" w:ascii="Times New Roman" w:hAnsi="Times New Roman"/>
                <w:sz w:val="20"/>
                <w:szCs w:val="20"/>
                <w:highlight w:val="none"/>
              </w:rPr>
              <w:t>分）</w:t>
            </w: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 xml:space="preserve">  </w:t>
            </w: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pStyle w:val="10"/>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过程</w:t>
            </w:r>
          </w:p>
          <w:p>
            <w:pPr>
              <w:jc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w:t>
            </w:r>
            <w:r>
              <w:rPr>
                <w:rStyle w:val="15"/>
                <w:rFonts w:hint="eastAsia"/>
                <w:sz w:val="20"/>
                <w:szCs w:val="20"/>
                <w:highlight w:val="none"/>
                <w:lang w:val="en-US" w:eastAsia="zh-CN"/>
              </w:rPr>
              <w:t>41</w:t>
            </w:r>
            <w:r>
              <w:rPr>
                <w:rStyle w:val="14"/>
                <w:rFonts w:hint="default" w:ascii="Times New Roman" w:hAnsi="Times New Roman"/>
                <w:sz w:val="20"/>
                <w:szCs w:val="20"/>
                <w:highlight w:val="none"/>
              </w:rPr>
              <w:t>分）</w:t>
            </w: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p>
            <w:pPr>
              <w:jc w:val="center"/>
              <w:rPr>
                <w:rStyle w:val="14"/>
                <w:rFonts w:hint="default" w:ascii="Times New Roman" w:hAnsi="Times New Roman"/>
                <w:sz w:val="20"/>
                <w:szCs w:val="20"/>
                <w:highlight w:val="none"/>
              </w:rPr>
            </w:pPr>
          </w:p>
        </w:tc>
        <w:tc>
          <w:tcPr>
            <w:tcW w:w="737" w:type="dxa"/>
            <w:vMerge w:val="restart"/>
            <w:tcBorders>
              <w:top w:val="nil"/>
            </w:tcBorders>
            <w:tcMar>
              <w:top w:w="15" w:type="dxa"/>
              <w:left w:w="15" w:type="dxa"/>
              <w:right w:w="15" w:type="dxa"/>
            </w:tcMar>
            <w:vAlign w:val="center"/>
          </w:tcPr>
          <w:p>
            <w:pPr>
              <w:widowControl/>
              <w:textAlignment w:val="center"/>
              <w:rPr>
                <w:rFonts w:hint="eastAsia" w:ascii="Times New Roman" w:hAnsi="Times New Roman" w:cs="宋体"/>
                <w:color w:val="000000"/>
                <w:sz w:val="20"/>
                <w:szCs w:val="20"/>
                <w:highlight w:val="none"/>
              </w:rPr>
            </w:pPr>
          </w:p>
          <w:p>
            <w:pPr>
              <w:jc w:val="center"/>
              <w:textAlignment w:val="center"/>
              <w:rPr>
                <w:rFonts w:hint="eastAsia"/>
                <w:color w:val="000000"/>
                <w:sz w:val="20"/>
                <w:szCs w:val="20"/>
                <w:highlight w:val="none"/>
              </w:rPr>
            </w:pPr>
          </w:p>
          <w:p>
            <w:pPr>
              <w:jc w:val="center"/>
              <w:textAlignment w:val="center"/>
              <w:rPr>
                <w:rFonts w:hint="eastAsia"/>
                <w:color w:val="000000"/>
                <w:sz w:val="20"/>
                <w:szCs w:val="20"/>
                <w:highlight w:val="none"/>
              </w:rPr>
            </w:pPr>
          </w:p>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预算</w:t>
            </w:r>
          </w:p>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执行</w:t>
            </w:r>
          </w:p>
          <w:p>
            <w:pPr>
              <w:widowControl/>
              <w:jc w:val="center"/>
              <w:textAlignment w:val="center"/>
              <w:rPr>
                <w:rFonts w:ascii="Times New Roman" w:hAnsi="Times New Roman" w:cs="宋体"/>
                <w:color w:val="000000"/>
                <w:sz w:val="20"/>
                <w:szCs w:val="20"/>
                <w:highlight w:val="none"/>
              </w:rPr>
            </w:pPr>
            <w:r>
              <w:rPr>
                <w:rStyle w:val="14"/>
                <w:rFonts w:hint="default" w:ascii="Times New Roman" w:hAnsi="Times New Roman"/>
                <w:sz w:val="20"/>
                <w:szCs w:val="20"/>
                <w:highlight w:val="none"/>
              </w:rPr>
              <w:t>（1</w:t>
            </w:r>
            <w:r>
              <w:rPr>
                <w:rStyle w:val="14"/>
                <w:rFonts w:hint="eastAsia" w:ascii="Times New Roman" w:hAnsi="Times New Roman"/>
                <w:sz w:val="20"/>
                <w:szCs w:val="20"/>
                <w:highlight w:val="none"/>
                <w:lang w:val="en-US" w:eastAsia="zh-CN"/>
              </w:rPr>
              <w:t>2</w:t>
            </w:r>
            <w:r>
              <w:rPr>
                <w:rStyle w:val="14"/>
                <w:rFonts w:hint="default" w:ascii="Times New Roman" w:hAnsi="Times New Roman"/>
                <w:sz w:val="20"/>
                <w:szCs w:val="20"/>
                <w:highlight w:val="none"/>
              </w:rPr>
              <w:t>分）</w:t>
            </w:r>
          </w:p>
        </w:tc>
        <w:tc>
          <w:tcPr>
            <w:tcW w:w="833" w:type="dxa"/>
            <w:tcMar>
              <w:top w:w="15" w:type="dxa"/>
              <w:left w:w="15" w:type="dxa"/>
              <w:right w:w="15" w:type="dxa"/>
            </w:tcMar>
            <w:vAlign w:val="center"/>
          </w:tcPr>
          <w:p>
            <w:pPr>
              <w:widowControl/>
              <w:ind w:firstLine="200" w:firstLineChars="100"/>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预算</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执行率</w:t>
            </w:r>
          </w:p>
        </w:tc>
        <w:tc>
          <w:tcPr>
            <w:tcW w:w="568" w:type="dxa"/>
            <w:tcMar>
              <w:top w:w="15" w:type="dxa"/>
              <w:left w:w="15" w:type="dxa"/>
              <w:right w:w="15" w:type="dxa"/>
            </w:tcMar>
            <w:vAlign w:val="center"/>
          </w:tcPr>
          <w:p>
            <w:pPr>
              <w:widowControl/>
              <w:jc w:val="center"/>
              <w:textAlignment w:val="center"/>
              <w:rPr>
                <w:rFonts w:hint="eastAsia" w:eastAsia="宋体"/>
                <w:color w:val="000000"/>
                <w:sz w:val="20"/>
                <w:szCs w:val="20"/>
                <w:highlight w:val="none"/>
                <w:lang w:eastAsia="zh-CN"/>
              </w:rPr>
            </w:pPr>
            <w:r>
              <w:rPr>
                <w:rFonts w:hint="eastAsia"/>
                <w:color w:val="000000"/>
                <w:kern w:val="0"/>
                <w:sz w:val="20"/>
                <w:szCs w:val="20"/>
                <w:highlight w:val="none"/>
                <w:lang w:val="en-US" w:eastAsia="zh-CN"/>
              </w:rPr>
              <w:t>3</w:t>
            </w:r>
          </w:p>
        </w:tc>
        <w:tc>
          <w:tcPr>
            <w:tcW w:w="2808" w:type="dxa"/>
            <w:tcMar>
              <w:top w:w="15" w:type="dxa"/>
              <w:left w:w="15" w:type="dxa"/>
              <w:right w:w="15" w:type="dxa"/>
            </w:tcMar>
            <w:vAlign w:val="center"/>
          </w:tcPr>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预算执行率=（预算完成数/预算数）×100%。</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预算完成数：部门（单位）本年度实际完成的预算数。</w:t>
            </w:r>
          </w:p>
          <w:p>
            <w:pPr>
              <w:widowControl/>
              <w:jc w:val="left"/>
              <w:textAlignment w:val="center"/>
              <w:rPr>
                <w:color w:val="000000"/>
                <w:sz w:val="20"/>
                <w:szCs w:val="20"/>
                <w:highlight w:val="none"/>
              </w:rPr>
            </w:pPr>
            <w:r>
              <w:rPr>
                <w:rStyle w:val="14"/>
                <w:rFonts w:hint="default" w:ascii="Times New Roman" w:hAnsi="Times New Roman"/>
                <w:sz w:val="20"/>
                <w:szCs w:val="20"/>
                <w:highlight w:val="none"/>
              </w:rPr>
              <w:t>预算数：财政部门批复的本年度部门（单位）预算数及追加的项目预算数。</w:t>
            </w:r>
            <w:r>
              <w:rPr>
                <w:rStyle w:val="14"/>
                <w:rFonts w:hint="default"/>
                <w:sz w:val="20"/>
                <w:szCs w:val="20"/>
                <w:highlight w:val="none"/>
              </w:rPr>
              <w:t>②</w:t>
            </w:r>
            <w:r>
              <w:rPr>
                <w:rStyle w:val="14"/>
                <w:rFonts w:hint="default" w:ascii="Times New Roman" w:hAnsi="Times New Roman"/>
                <w:sz w:val="20"/>
                <w:szCs w:val="20"/>
                <w:highlight w:val="none"/>
              </w:rPr>
              <w:t>支付序时进度</w:t>
            </w:r>
            <w:r>
              <w:rPr>
                <w:rStyle w:val="15"/>
                <w:sz w:val="20"/>
                <w:szCs w:val="20"/>
                <w:highlight w:val="none"/>
              </w:rPr>
              <w:t>=</w:t>
            </w:r>
            <w:r>
              <w:rPr>
                <w:rStyle w:val="14"/>
                <w:rFonts w:hint="default" w:ascii="Times New Roman" w:hAnsi="Times New Roman"/>
                <w:sz w:val="20"/>
                <w:szCs w:val="20"/>
                <w:highlight w:val="none"/>
              </w:rPr>
              <w:t>（序时执行数</w:t>
            </w:r>
            <w:r>
              <w:rPr>
                <w:rStyle w:val="15"/>
                <w:sz w:val="20"/>
                <w:szCs w:val="20"/>
                <w:highlight w:val="none"/>
              </w:rPr>
              <w:t>/</w:t>
            </w:r>
            <w:r>
              <w:rPr>
                <w:rStyle w:val="14"/>
                <w:rFonts w:hint="default" w:ascii="Times New Roman" w:hAnsi="Times New Roman"/>
                <w:sz w:val="20"/>
                <w:szCs w:val="20"/>
                <w:highlight w:val="none"/>
              </w:rPr>
              <w:t>序时指标下达数）</w:t>
            </w:r>
            <w:r>
              <w:rPr>
                <w:rStyle w:val="15"/>
                <w:sz w:val="20"/>
                <w:szCs w:val="20"/>
                <w:highlight w:val="none"/>
              </w:rPr>
              <w:t>×100%</w:t>
            </w:r>
            <w:r>
              <w:rPr>
                <w:rStyle w:val="14"/>
                <w:rFonts w:hint="default" w:ascii="Times New Roman" w:hAnsi="Times New Roman"/>
                <w:sz w:val="20"/>
                <w:szCs w:val="20"/>
                <w:highlight w:val="none"/>
              </w:rPr>
              <w:t>。序时执行数：指按时间节点部门预算项目实际支出数。序时指标下达数：按时间节点给部门预算下达的项目支出和追加的项目支出指标数之和。</w:t>
            </w:r>
            <w:r>
              <w:rPr>
                <w:rStyle w:val="14"/>
                <w:rFonts w:hint="default"/>
                <w:sz w:val="20"/>
                <w:szCs w:val="20"/>
                <w:highlight w:val="none"/>
              </w:rPr>
              <w:t>③</w:t>
            </w:r>
            <w:r>
              <w:rPr>
                <w:rStyle w:val="14"/>
                <w:rFonts w:hint="default" w:ascii="Times New Roman" w:hAnsi="Times New Roman"/>
                <w:sz w:val="20"/>
                <w:szCs w:val="20"/>
                <w:highlight w:val="none"/>
              </w:rPr>
              <w:t>部门预算项目支出调剂到区县。</w:t>
            </w:r>
          </w:p>
        </w:tc>
        <w:tc>
          <w:tcPr>
            <w:tcW w:w="3338" w:type="dxa"/>
            <w:tcMar>
              <w:top w:w="15" w:type="dxa"/>
              <w:left w:w="15" w:type="dxa"/>
              <w:right w:w="15" w:type="dxa"/>
            </w:tcMar>
            <w:vAlign w:val="center"/>
          </w:tcPr>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全年预算执行率95%以上计</w:t>
            </w:r>
            <w:r>
              <w:rPr>
                <w:rStyle w:val="15"/>
                <w:rFonts w:hint="eastAsia"/>
                <w:sz w:val="20"/>
                <w:szCs w:val="20"/>
                <w:highlight w:val="none"/>
                <w:lang w:val="en-US" w:eastAsia="zh-CN"/>
              </w:rPr>
              <w:t>1</w:t>
            </w:r>
            <w:r>
              <w:rPr>
                <w:rStyle w:val="14"/>
                <w:rFonts w:hint="default" w:ascii="Times New Roman" w:hAnsi="Times New Roman"/>
                <w:sz w:val="20"/>
                <w:szCs w:val="20"/>
                <w:highlight w:val="none"/>
              </w:rPr>
              <w:t>分，</w:t>
            </w:r>
            <w:r>
              <w:rPr>
                <w:rStyle w:val="15"/>
                <w:sz w:val="20"/>
                <w:szCs w:val="20"/>
                <w:highlight w:val="none"/>
              </w:rPr>
              <w:t>95-</w:t>
            </w:r>
            <w:r>
              <w:rPr>
                <w:rStyle w:val="15"/>
                <w:rFonts w:hint="eastAsia"/>
                <w:sz w:val="20"/>
                <w:szCs w:val="20"/>
                <w:highlight w:val="none"/>
                <w:lang w:val="en-US" w:eastAsia="zh-CN"/>
              </w:rPr>
              <w:t>8</w:t>
            </w:r>
            <w:r>
              <w:rPr>
                <w:rStyle w:val="15"/>
                <w:sz w:val="20"/>
                <w:szCs w:val="20"/>
                <w:highlight w:val="none"/>
              </w:rPr>
              <w:t>0%</w:t>
            </w:r>
            <w:r>
              <w:rPr>
                <w:rStyle w:val="14"/>
                <w:rFonts w:hint="default" w:ascii="Times New Roman" w:hAnsi="Times New Roman"/>
                <w:sz w:val="20"/>
                <w:szCs w:val="20"/>
                <w:highlight w:val="none"/>
              </w:rPr>
              <w:t>（含），每低1个百分点扣0.2分，扣完为止，小于</w:t>
            </w:r>
            <w:r>
              <w:rPr>
                <w:rStyle w:val="15"/>
                <w:sz w:val="20"/>
                <w:szCs w:val="20"/>
                <w:highlight w:val="none"/>
              </w:rPr>
              <w:t>80%</w:t>
            </w:r>
            <w:r>
              <w:rPr>
                <w:rStyle w:val="14"/>
                <w:rFonts w:hint="default" w:ascii="Times New Roman" w:hAnsi="Times New Roman"/>
                <w:sz w:val="20"/>
                <w:szCs w:val="20"/>
                <w:highlight w:val="none"/>
              </w:rPr>
              <w:t>不得分；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一、二、三季度末支付序时进度分别达到</w:t>
            </w:r>
            <w:r>
              <w:rPr>
                <w:rStyle w:val="15"/>
                <w:sz w:val="20"/>
                <w:szCs w:val="20"/>
                <w:highlight w:val="none"/>
              </w:rPr>
              <w:t>20%</w:t>
            </w:r>
            <w:r>
              <w:rPr>
                <w:rStyle w:val="14"/>
                <w:rFonts w:hint="default" w:ascii="Times New Roman" w:hAnsi="Times New Roman"/>
                <w:sz w:val="20"/>
                <w:szCs w:val="20"/>
                <w:highlight w:val="none"/>
              </w:rPr>
              <w:t>、</w:t>
            </w:r>
            <w:r>
              <w:rPr>
                <w:rStyle w:val="15"/>
                <w:sz w:val="20"/>
                <w:szCs w:val="20"/>
                <w:highlight w:val="none"/>
              </w:rPr>
              <w:t>50%</w:t>
            </w:r>
            <w:r>
              <w:rPr>
                <w:rStyle w:val="14"/>
                <w:rFonts w:hint="default" w:ascii="Times New Roman" w:hAnsi="Times New Roman"/>
                <w:sz w:val="20"/>
                <w:szCs w:val="20"/>
                <w:highlight w:val="none"/>
              </w:rPr>
              <w:t>、</w:t>
            </w:r>
            <w:r>
              <w:rPr>
                <w:rStyle w:val="15"/>
                <w:sz w:val="20"/>
                <w:szCs w:val="20"/>
                <w:highlight w:val="none"/>
              </w:rPr>
              <w:t>80%</w:t>
            </w:r>
            <w:r>
              <w:rPr>
                <w:rStyle w:val="14"/>
                <w:rFonts w:hint="default" w:ascii="Times New Roman" w:hAnsi="Times New Roman"/>
                <w:sz w:val="20"/>
                <w:szCs w:val="20"/>
                <w:highlight w:val="none"/>
              </w:rPr>
              <w:t>（含）以上计</w:t>
            </w:r>
            <w:r>
              <w:rPr>
                <w:rStyle w:val="15"/>
                <w:rFonts w:hint="eastAsia"/>
                <w:sz w:val="20"/>
                <w:szCs w:val="20"/>
                <w:highlight w:val="none"/>
                <w:lang w:val="en-US" w:eastAsia="zh-CN"/>
              </w:rPr>
              <w:t>1</w:t>
            </w:r>
            <w:r>
              <w:rPr>
                <w:rStyle w:val="14"/>
                <w:rFonts w:hint="default" w:ascii="Times New Roman" w:hAnsi="Times New Roman"/>
                <w:sz w:val="20"/>
                <w:szCs w:val="20"/>
                <w:highlight w:val="none"/>
              </w:rPr>
              <w:t>分，每低</w:t>
            </w:r>
            <w:r>
              <w:rPr>
                <w:rStyle w:val="15"/>
                <w:sz w:val="20"/>
                <w:szCs w:val="20"/>
                <w:highlight w:val="none"/>
              </w:rPr>
              <w:t>1</w:t>
            </w:r>
            <w:r>
              <w:rPr>
                <w:rStyle w:val="14"/>
                <w:rFonts w:hint="default" w:ascii="Times New Roman" w:hAnsi="Times New Roman"/>
                <w:sz w:val="20"/>
                <w:szCs w:val="20"/>
                <w:highlight w:val="none"/>
              </w:rPr>
              <w:t>个百分点扣</w:t>
            </w:r>
            <w:r>
              <w:rPr>
                <w:rStyle w:val="15"/>
                <w:sz w:val="20"/>
                <w:szCs w:val="20"/>
                <w:highlight w:val="none"/>
              </w:rPr>
              <w:t>0.2</w:t>
            </w:r>
            <w:r>
              <w:rPr>
                <w:rStyle w:val="14"/>
                <w:rFonts w:hint="default" w:ascii="Times New Roman" w:hAnsi="Times New Roman"/>
                <w:sz w:val="20"/>
                <w:szCs w:val="20"/>
                <w:highlight w:val="none"/>
              </w:rPr>
              <w:t>分，扣完为止。</w:t>
            </w:r>
          </w:p>
          <w:p>
            <w:pPr>
              <w:widowControl/>
              <w:textAlignment w:val="center"/>
              <w:rPr>
                <w:color w:val="000000"/>
                <w:sz w:val="20"/>
                <w:szCs w:val="20"/>
                <w:highlight w:val="none"/>
              </w:rPr>
            </w:pPr>
            <w:r>
              <w:rPr>
                <w:rStyle w:val="14"/>
                <w:rFonts w:hint="default"/>
                <w:sz w:val="20"/>
                <w:szCs w:val="20"/>
                <w:highlight w:val="none"/>
              </w:rPr>
              <w:t>③</w:t>
            </w:r>
            <w:r>
              <w:rPr>
                <w:rStyle w:val="14"/>
                <w:rFonts w:hint="default" w:ascii="Times New Roman" w:hAnsi="Times New Roman"/>
                <w:sz w:val="20"/>
                <w:szCs w:val="20"/>
                <w:highlight w:val="none"/>
              </w:rPr>
              <w:t>部门预算项目支出调剂到区县小于等于项目支出2%，计</w:t>
            </w:r>
            <w:r>
              <w:rPr>
                <w:rStyle w:val="14"/>
                <w:rFonts w:hint="eastAsia" w:ascii="Times New Roman" w:hAnsi="Times New Roman"/>
                <w:sz w:val="20"/>
                <w:szCs w:val="20"/>
                <w:highlight w:val="none"/>
                <w:lang w:val="en-US" w:eastAsia="zh-CN"/>
              </w:rPr>
              <w:t>1</w:t>
            </w:r>
            <w:r>
              <w:rPr>
                <w:rStyle w:val="14"/>
                <w:rFonts w:hint="default" w:ascii="Times New Roman" w:hAnsi="Times New Roman"/>
                <w:sz w:val="20"/>
                <w:szCs w:val="20"/>
                <w:highlight w:val="none"/>
              </w:rPr>
              <w:t>分；大于2%，不计分；</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5"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vMerge w:val="continue"/>
            <w:tcBorders>
              <w:top w:val="nil"/>
            </w:tcBorders>
            <w:tcMar>
              <w:top w:w="15" w:type="dxa"/>
              <w:left w:w="15" w:type="dxa"/>
              <w:right w:w="15" w:type="dxa"/>
            </w:tcMar>
            <w:vAlign w:val="center"/>
          </w:tcPr>
          <w:p>
            <w:pPr>
              <w:widowControl/>
              <w:jc w:val="center"/>
              <w:textAlignment w:val="center"/>
              <w:rPr>
                <w:color w:val="000000"/>
                <w:sz w:val="20"/>
                <w:szCs w:val="20"/>
                <w:highlight w:val="none"/>
              </w:rPr>
            </w:pP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预算</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调整率</w:t>
            </w:r>
          </w:p>
        </w:tc>
        <w:tc>
          <w:tcPr>
            <w:tcW w:w="568" w:type="dxa"/>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rPr>
              <w:t>3</w:t>
            </w:r>
          </w:p>
        </w:tc>
        <w:tc>
          <w:tcPr>
            <w:tcW w:w="2808" w:type="dxa"/>
            <w:tcMar>
              <w:top w:w="15" w:type="dxa"/>
              <w:left w:w="15" w:type="dxa"/>
              <w:right w:w="15" w:type="dxa"/>
            </w:tcMar>
            <w:vAlign w:val="center"/>
          </w:tcPr>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预算调整率</w:t>
            </w:r>
            <w:r>
              <w:rPr>
                <w:rStyle w:val="15"/>
                <w:sz w:val="20"/>
                <w:szCs w:val="20"/>
                <w:highlight w:val="none"/>
              </w:rPr>
              <w:t>=</w:t>
            </w:r>
            <w:r>
              <w:rPr>
                <w:rStyle w:val="14"/>
                <w:rFonts w:hint="default" w:ascii="Times New Roman" w:hAnsi="Times New Roman"/>
                <w:sz w:val="20"/>
                <w:szCs w:val="20"/>
                <w:highlight w:val="none"/>
              </w:rPr>
              <w:t>（预算调整数</w:t>
            </w:r>
            <w:r>
              <w:rPr>
                <w:rStyle w:val="15"/>
                <w:sz w:val="20"/>
                <w:szCs w:val="20"/>
                <w:highlight w:val="none"/>
              </w:rPr>
              <w:t>/</w:t>
            </w:r>
            <w:r>
              <w:rPr>
                <w:rStyle w:val="14"/>
                <w:rFonts w:hint="default" w:ascii="Times New Roman" w:hAnsi="Times New Roman"/>
                <w:sz w:val="20"/>
                <w:szCs w:val="20"/>
                <w:highlight w:val="none"/>
              </w:rPr>
              <w:t>预算数）</w:t>
            </w:r>
            <w:r>
              <w:rPr>
                <w:rStyle w:val="15"/>
                <w:sz w:val="20"/>
                <w:szCs w:val="20"/>
                <w:highlight w:val="none"/>
              </w:rPr>
              <w:t>×100%</w:t>
            </w:r>
            <w:r>
              <w:rPr>
                <w:rStyle w:val="14"/>
                <w:rFonts w:hint="default" w:ascii="Times New Roman" w:hAnsi="Times New Roman"/>
                <w:sz w:val="20"/>
                <w:szCs w:val="20"/>
                <w:highlight w:val="none"/>
              </w:rPr>
              <w:t>。</w:t>
            </w:r>
          </w:p>
          <w:p>
            <w:pPr>
              <w:widowControl/>
              <w:jc w:val="left"/>
              <w:textAlignment w:val="center"/>
              <w:rPr>
                <w:color w:val="000000"/>
                <w:sz w:val="20"/>
                <w:szCs w:val="20"/>
                <w:highlight w:val="none"/>
              </w:rPr>
            </w:pPr>
            <w:r>
              <w:rPr>
                <w:rStyle w:val="14"/>
                <w:rFonts w:hint="default" w:ascii="Times New Roman" w:hAnsi="Times New Roman"/>
                <w:sz w:val="20"/>
                <w:szCs w:val="20"/>
                <w:highlight w:val="none"/>
              </w:rPr>
              <w:t>预算调整数：部门（单位）在本年度内涉及预算的追加、追减或结构调整的资金总和（因落实国家政策、发生不可抗力，县委、县政府临时交办而产生的调整及经济科目非跨类调整除外）。</w:t>
            </w:r>
          </w:p>
        </w:tc>
        <w:tc>
          <w:tcPr>
            <w:tcW w:w="3338" w:type="dxa"/>
            <w:tcMar>
              <w:top w:w="15" w:type="dxa"/>
              <w:left w:w="15" w:type="dxa"/>
              <w:right w:w="15" w:type="dxa"/>
            </w:tcMar>
            <w:vAlign w:val="center"/>
          </w:tcPr>
          <w:p>
            <w:pPr>
              <w:widowControl/>
              <w:textAlignment w:val="center"/>
              <w:rPr>
                <w:color w:val="000000"/>
                <w:sz w:val="20"/>
                <w:szCs w:val="20"/>
                <w:highlight w:val="none"/>
              </w:rPr>
            </w:pPr>
            <w:r>
              <w:rPr>
                <w:rStyle w:val="14"/>
                <w:rFonts w:hint="default" w:ascii="Times New Roman" w:hAnsi="Times New Roman"/>
                <w:sz w:val="20"/>
                <w:szCs w:val="20"/>
                <w:highlight w:val="none"/>
              </w:rPr>
              <w:t>预算调整率</w:t>
            </w:r>
            <w:r>
              <w:rPr>
                <w:rStyle w:val="15"/>
                <w:sz w:val="20"/>
                <w:szCs w:val="20"/>
                <w:highlight w:val="none"/>
              </w:rPr>
              <w:t>&lt;5%</w:t>
            </w:r>
            <w:r>
              <w:rPr>
                <w:rStyle w:val="14"/>
                <w:rFonts w:hint="default" w:ascii="Times New Roman" w:hAnsi="Times New Roman"/>
                <w:sz w:val="20"/>
                <w:szCs w:val="20"/>
                <w:highlight w:val="none"/>
              </w:rPr>
              <w:t>，计</w:t>
            </w:r>
            <w:r>
              <w:rPr>
                <w:rStyle w:val="15"/>
                <w:sz w:val="20"/>
                <w:szCs w:val="20"/>
                <w:highlight w:val="none"/>
              </w:rPr>
              <w:t>3</w:t>
            </w:r>
            <w:r>
              <w:rPr>
                <w:rStyle w:val="14"/>
                <w:rFonts w:hint="default" w:ascii="Times New Roman" w:hAnsi="Times New Roman"/>
                <w:sz w:val="20"/>
                <w:szCs w:val="20"/>
                <w:highlight w:val="none"/>
              </w:rPr>
              <w:t>分；</w:t>
            </w:r>
            <w:r>
              <w:rPr>
                <w:rStyle w:val="15"/>
                <w:sz w:val="20"/>
                <w:szCs w:val="20"/>
                <w:highlight w:val="none"/>
              </w:rPr>
              <w:t>5-10%</w:t>
            </w:r>
            <w:r>
              <w:rPr>
                <w:rStyle w:val="14"/>
                <w:rFonts w:hint="default" w:ascii="Times New Roman" w:hAnsi="Times New Roman"/>
                <w:sz w:val="20"/>
                <w:szCs w:val="20"/>
                <w:highlight w:val="none"/>
              </w:rPr>
              <w:t>（含），计</w:t>
            </w:r>
            <w:r>
              <w:rPr>
                <w:rStyle w:val="15"/>
                <w:sz w:val="20"/>
                <w:szCs w:val="20"/>
                <w:highlight w:val="none"/>
              </w:rPr>
              <w:t>1.5</w:t>
            </w:r>
            <w:r>
              <w:rPr>
                <w:rStyle w:val="14"/>
                <w:rFonts w:hint="default" w:ascii="Times New Roman" w:hAnsi="Times New Roman"/>
                <w:sz w:val="20"/>
                <w:szCs w:val="20"/>
                <w:highlight w:val="none"/>
              </w:rPr>
              <w:t>分；大于</w:t>
            </w:r>
            <w:r>
              <w:rPr>
                <w:rStyle w:val="15"/>
                <w:sz w:val="20"/>
                <w:szCs w:val="20"/>
                <w:highlight w:val="none"/>
              </w:rPr>
              <w:t>10%</w:t>
            </w:r>
            <w:r>
              <w:rPr>
                <w:rStyle w:val="14"/>
                <w:rFonts w:hint="default" w:ascii="Times New Roman" w:hAnsi="Times New Roman"/>
                <w:sz w:val="20"/>
                <w:szCs w:val="20"/>
                <w:highlight w:val="none"/>
              </w:rPr>
              <w:t>不得分。</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vMerge w:val="continue"/>
            <w:tcBorders>
              <w:top w:val="nil"/>
            </w:tcBorders>
            <w:tcMar>
              <w:top w:w="15" w:type="dxa"/>
              <w:left w:w="15" w:type="dxa"/>
              <w:right w:w="15" w:type="dxa"/>
            </w:tcMar>
            <w:vAlign w:val="center"/>
          </w:tcPr>
          <w:p>
            <w:pPr>
              <w:jc w:val="center"/>
              <w:rPr>
                <w:color w:val="000000"/>
                <w:sz w:val="20"/>
                <w:szCs w:val="20"/>
                <w:highlight w:val="none"/>
              </w:rPr>
            </w:pPr>
          </w:p>
        </w:tc>
        <w:tc>
          <w:tcPr>
            <w:tcW w:w="833" w:type="dxa"/>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rPr>
              <w:t>结转结余</w:t>
            </w:r>
          </w:p>
        </w:tc>
        <w:tc>
          <w:tcPr>
            <w:tcW w:w="568" w:type="dxa"/>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rPr>
              <w:t>2</w:t>
            </w:r>
          </w:p>
        </w:tc>
        <w:tc>
          <w:tcPr>
            <w:tcW w:w="2808" w:type="dxa"/>
            <w:tcMar>
              <w:top w:w="15" w:type="dxa"/>
              <w:left w:w="15" w:type="dxa"/>
              <w:right w:w="15" w:type="dxa"/>
            </w:tcMar>
            <w:vAlign w:val="center"/>
          </w:tcPr>
          <w:p>
            <w:pPr>
              <w:widowControl/>
              <w:jc w:val="left"/>
              <w:textAlignment w:val="center"/>
              <w:rPr>
                <w:color w:val="000000"/>
                <w:sz w:val="20"/>
                <w:szCs w:val="20"/>
                <w:highlight w:val="none"/>
              </w:rPr>
            </w:pPr>
            <w:r>
              <w:rPr>
                <w:color w:val="000000"/>
                <w:kern w:val="0"/>
                <w:sz w:val="20"/>
                <w:szCs w:val="20"/>
                <w:highlight w:val="none"/>
              </w:rPr>
              <w:t>根据</w:t>
            </w:r>
            <w:r>
              <w:rPr>
                <w:rStyle w:val="14"/>
                <w:rFonts w:hint="default" w:ascii="Times New Roman" w:hAnsi="Times New Roman"/>
                <w:sz w:val="20"/>
                <w:szCs w:val="20"/>
                <w:highlight w:val="none"/>
              </w:rPr>
              <w:t>县</w:t>
            </w:r>
            <w:r>
              <w:rPr>
                <w:color w:val="000000"/>
                <w:kern w:val="0"/>
                <w:sz w:val="20"/>
                <w:szCs w:val="20"/>
                <w:highlight w:val="none"/>
              </w:rPr>
              <w:t>政府文件规定，预算单位年度安排的</w:t>
            </w:r>
            <w:r>
              <w:rPr>
                <w:rStyle w:val="14"/>
                <w:rFonts w:hint="default" w:ascii="Times New Roman" w:hAnsi="Times New Roman"/>
                <w:sz w:val="20"/>
                <w:szCs w:val="20"/>
                <w:highlight w:val="none"/>
              </w:rPr>
              <w:t>县</w:t>
            </w:r>
            <w:r>
              <w:rPr>
                <w:color w:val="000000"/>
                <w:kern w:val="0"/>
                <w:sz w:val="20"/>
                <w:szCs w:val="20"/>
                <w:highlight w:val="none"/>
              </w:rPr>
              <w:t>级预算资金不能结转。</w:t>
            </w:r>
          </w:p>
        </w:tc>
        <w:tc>
          <w:tcPr>
            <w:tcW w:w="3338" w:type="dxa"/>
            <w:tcMar>
              <w:top w:w="15" w:type="dxa"/>
              <w:left w:w="15" w:type="dxa"/>
              <w:right w:w="15" w:type="dxa"/>
            </w:tcMar>
            <w:vAlign w:val="center"/>
          </w:tcPr>
          <w:p>
            <w:pPr>
              <w:widowControl/>
              <w:textAlignment w:val="center"/>
              <w:rPr>
                <w:color w:val="000000"/>
                <w:sz w:val="20"/>
                <w:szCs w:val="20"/>
                <w:highlight w:val="none"/>
              </w:rPr>
            </w:pPr>
            <w:r>
              <w:rPr>
                <w:rStyle w:val="14"/>
                <w:rFonts w:hint="default" w:ascii="Times New Roman" w:hAnsi="Times New Roman"/>
                <w:sz w:val="20"/>
                <w:szCs w:val="20"/>
                <w:highlight w:val="none"/>
              </w:rPr>
              <w:t>县</w:t>
            </w:r>
            <w:r>
              <w:rPr>
                <w:color w:val="000000"/>
                <w:kern w:val="0"/>
                <w:sz w:val="20"/>
                <w:szCs w:val="20"/>
                <w:highlight w:val="none"/>
              </w:rPr>
              <w:t>本级资金无结转，计2分；有结转，不计分；</w:t>
            </w:r>
          </w:p>
        </w:tc>
        <w:tc>
          <w:tcPr>
            <w:tcW w:w="778" w:type="dxa"/>
            <w:tcMar>
              <w:top w:w="15" w:type="dxa"/>
              <w:left w:w="15" w:type="dxa"/>
              <w:right w:w="15" w:type="dxa"/>
            </w:tcMar>
            <w:vAlign w:val="center"/>
          </w:tcPr>
          <w:p>
            <w:pPr>
              <w:widowControl/>
              <w:jc w:val="center"/>
              <w:textAlignment w:val="center"/>
              <w:rPr>
                <w:rFonts w:hint="eastAsia" w:eastAsiaTheme="minorEastAsia"/>
                <w:color w:val="000000"/>
                <w:kern w:val="0"/>
                <w:sz w:val="20"/>
                <w:szCs w:val="20"/>
                <w:highlight w:val="none"/>
                <w:lang w:val="en-US" w:eastAsia="zh-CN"/>
              </w:rPr>
            </w:pPr>
            <w:r>
              <w:rPr>
                <w:rFonts w:hint="eastAsia"/>
                <w:color w:val="000000"/>
                <w:kern w:val="0"/>
                <w:sz w:val="20"/>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 w:hRule="atLeast"/>
        </w:trPr>
        <w:tc>
          <w:tcPr>
            <w:tcW w:w="868" w:type="dxa"/>
            <w:vMerge w:val="continue"/>
            <w:tcMar>
              <w:top w:w="15" w:type="dxa"/>
              <w:left w:w="15" w:type="dxa"/>
              <w:right w:w="15" w:type="dxa"/>
            </w:tcMar>
            <w:vAlign w:val="center"/>
          </w:tcPr>
          <w:p>
            <w:pPr>
              <w:widowControl/>
              <w:jc w:val="center"/>
              <w:textAlignment w:val="center"/>
              <w:rPr>
                <w:color w:val="000000"/>
                <w:sz w:val="20"/>
                <w:szCs w:val="20"/>
                <w:highlight w:val="none"/>
              </w:rPr>
            </w:pPr>
          </w:p>
        </w:tc>
        <w:tc>
          <w:tcPr>
            <w:tcW w:w="737" w:type="dxa"/>
            <w:vMerge w:val="continue"/>
            <w:tcBorders>
              <w:top w:val="nil"/>
            </w:tcBorders>
            <w:tcMar>
              <w:top w:w="15" w:type="dxa"/>
              <w:left w:w="15" w:type="dxa"/>
              <w:right w:w="15" w:type="dxa"/>
            </w:tcMar>
            <w:vAlign w:val="center"/>
          </w:tcPr>
          <w:p>
            <w:pPr>
              <w:widowControl/>
              <w:jc w:val="center"/>
              <w:textAlignment w:val="center"/>
              <w:rPr>
                <w:color w:val="000000"/>
                <w:sz w:val="20"/>
                <w:szCs w:val="20"/>
                <w:highlight w:val="none"/>
              </w:rPr>
            </w:pP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Style w:val="15"/>
                <w:sz w:val="20"/>
                <w:szCs w:val="20"/>
                <w:highlight w:val="none"/>
              </w:rPr>
              <w:t>“</w:t>
            </w:r>
            <w:r>
              <w:rPr>
                <w:rStyle w:val="14"/>
                <w:rFonts w:hint="default" w:ascii="Times New Roman" w:hAnsi="Times New Roman"/>
                <w:sz w:val="20"/>
                <w:szCs w:val="20"/>
                <w:highlight w:val="none"/>
              </w:rPr>
              <w:t>三公</w:t>
            </w:r>
          </w:p>
          <w:p>
            <w:pPr>
              <w:widowControl/>
              <w:jc w:val="center"/>
              <w:textAlignment w:val="center"/>
              <w:rPr>
                <w:rStyle w:val="15"/>
                <w:sz w:val="20"/>
                <w:szCs w:val="20"/>
                <w:highlight w:val="none"/>
              </w:rPr>
            </w:pPr>
            <w:r>
              <w:rPr>
                <w:rStyle w:val="14"/>
                <w:rFonts w:hint="default" w:ascii="Times New Roman" w:hAnsi="Times New Roman"/>
                <w:sz w:val="20"/>
                <w:szCs w:val="20"/>
                <w:highlight w:val="none"/>
              </w:rPr>
              <w:t>经费</w:t>
            </w:r>
            <w:r>
              <w:rPr>
                <w:rStyle w:val="15"/>
                <w:sz w:val="20"/>
                <w:szCs w:val="20"/>
                <w:highlight w:val="none"/>
              </w:rPr>
              <w:t>”</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控制率</w:t>
            </w:r>
          </w:p>
        </w:tc>
        <w:tc>
          <w:tcPr>
            <w:tcW w:w="568" w:type="dxa"/>
            <w:tcMar>
              <w:top w:w="15" w:type="dxa"/>
              <w:left w:w="15" w:type="dxa"/>
              <w:right w:w="15" w:type="dxa"/>
            </w:tcMar>
            <w:vAlign w:val="center"/>
          </w:tcPr>
          <w:p>
            <w:pPr>
              <w:widowControl/>
              <w:jc w:val="center"/>
              <w:textAlignment w:val="center"/>
              <w:rPr>
                <w:color w:val="000000"/>
                <w:sz w:val="20"/>
                <w:szCs w:val="20"/>
                <w:highlight w:val="none"/>
              </w:rPr>
            </w:pPr>
            <w:r>
              <w:rPr>
                <w:rFonts w:hint="eastAsia"/>
                <w:color w:val="000000"/>
                <w:kern w:val="0"/>
                <w:sz w:val="20"/>
                <w:szCs w:val="20"/>
                <w:highlight w:val="none"/>
              </w:rPr>
              <w:t>2</w:t>
            </w:r>
          </w:p>
        </w:tc>
        <w:tc>
          <w:tcPr>
            <w:tcW w:w="2808" w:type="dxa"/>
            <w:tcMar>
              <w:top w:w="15" w:type="dxa"/>
              <w:left w:w="15" w:type="dxa"/>
              <w:right w:w="15" w:type="dxa"/>
            </w:tcMar>
            <w:vAlign w:val="center"/>
          </w:tcPr>
          <w:p>
            <w:pPr>
              <w:widowControl/>
              <w:jc w:val="left"/>
              <w:textAlignment w:val="center"/>
              <w:rPr>
                <w:color w:val="000000"/>
                <w:sz w:val="20"/>
                <w:szCs w:val="20"/>
                <w:highlight w:val="none"/>
              </w:rPr>
            </w:pPr>
            <w:r>
              <w:rPr>
                <w:rStyle w:val="15"/>
                <w:sz w:val="20"/>
                <w:szCs w:val="20"/>
                <w:highlight w:val="none"/>
              </w:rPr>
              <w:t>“</w:t>
            </w:r>
            <w:r>
              <w:rPr>
                <w:rStyle w:val="14"/>
                <w:rFonts w:hint="default" w:ascii="Times New Roman" w:hAnsi="Times New Roman"/>
                <w:sz w:val="20"/>
                <w:szCs w:val="20"/>
                <w:highlight w:val="none"/>
              </w:rPr>
              <w:t>三公经费</w:t>
            </w:r>
            <w:r>
              <w:rPr>
                <w:rStyle w:val="15"/>
                <w:sz w:val="20"/>
                <w:szCs w:val="20"/>
                <w:highlight w:val="none"/>
              </w:rPr>
              <w:t>”</w:t>
            </w:r>
            <w:r>
              <w:rPr>
                <w:rStyle w:val="14"/>
                <w:rFonts w:hint="default" w:ascii="Times New Roman" w:hAnsi="Times New Roman"/>
                <w:sz w:val="20"/>
                <w:szCs w:val="20"/>
                <w:highlight w:val="none"/>
              </w:rPr>
              <w:t>控制率</w:t>
            </w:r>
            <w:r>
              <w:rPr>
                <w:rStyle w:val="15"/>
                <w:sz w:val="20"/>
                <w:szCs w:val="20"/>
                <w:highlight w:val="none"/>
              </w:rPr>
              <w:t>=</w:t>
            </w:r>
            <w:r>
              <w:rPr>
                <w:rStyle w:val="14"/>
                <w:rFonts w:hint="default" w:ascii="Times New Roman" w:hAnsi="Times New Roman"/>
                <w:sz w:val="20"/>
                <w:szCs w:val="20"/>
                <w:highlight w:val="none"/>
              </w:rPr>
              <w:t>（</w:t>
            </w:r>
            <w:r>
              <w:rPr>
                <w:rStyle w:val="15"/>
                <w:sz w:val="20"/>
                <w:szCs w:val="20"/>
                <w:highlight w:val="none"/>
              </w:rPr>
              <w:t>“</w:t>
            </w:r>
            <w:r>
              <w:rPr>
                <w:rStyle w:val="14"/>
                <w:rFonts w:hint="default" w:ascii="Times New Roman" w:hAnsi="Times New Roman"/>
                <w:sz w:val="20"/>
                <w:szCs w:val="20"/>
                <w:highlight w:val="none"/>
              </w:rPr>
              <w:t>三公经费</w:t>
            </w:r>
            <w:r>
              <w:rPr>
                <w:rStyle w:val="15"/>
                <w:sz w:val="20"/>
                <w:szCs w:val="20"/>
                <w:highlight w:val="none"/>
              </w:rPr>
              <w:t>”</w:t>
            </w:r>
            <w:r>
              <w:rPr>
                <w:rStyle w:val="14"/>
                <w:rFonts w:hint="default" w:ascii="Times New Roman" w:hAnsi="Times New Roman"/>
                <w:sz w:val="20"/>
                <w:szCs w:val="20"/>
                <w:highlight w:val="none"/>
              </w:rPr>
              <w:t>实际支出数</w:t>
            </w:r>
            <w:r>
              <w:rPr>
                <w:rStyle w:val="15"/>
                <w:sz w:val="20"/>
                <w:szCs w:val="20"/>
                <w:highlight w:val="none"/>
              </w:rPr>
              <w:t>/“</w:t>
            </w:r>
            <w:r>
              <w:rPr>
                <w:rStyle w:val="14"/>
                <w:rFonts w:hint="default" w:ascii="Times New Roman" w:hAnsi="Times New Roman"/>
                <w:sz w:val="20"/>
                <w:szCs w:val="20"/>
                <w:highlight w:val="none"/>
              </w:rPr>
              <w:t>三公经费</w:t>
            </w:r>
            <w:r>
              <w:rPr>
                <w:rStyle w:val="15"/>
                <w:sz w:val="20"/>
                <w:szCs w:val="20"/>
                <w:highlight w:val="none"/>
              </w:rPr>
              <w:t>”</w:t>
            </w:r>
            <w:r>
              <w:rPr>
                <w:rStyle w:val="14"/>
                <w:rFonts w:hint="default" w:ascii="Times New Roman" w:hAnsi="Times New Roman"/>
                <w:sz w:val="20"/>
                <w:szCs w:val="20"/>
                <w:highlight w:val="none"/>
              </w:rPr>
              <w:t>预算安排数）</w:t>
            </w:r>
            <w:r>
              <w:rPr>
                <w:rStyle w:val="15"/>
                <w:sz w:val="20"/>
                <w:szCs w:val="20"/>
                <w:highlight w:val="none"/>
              </w:rPr>
              <w:t>×100%</w:t>
            </w:r>
            <w:r>
              <w:rPr>
                <w:rStyle w:val="14"/>
                <w:rFonts w:hint="default" w:ascii="Times New Roman" w:hAnsi="Times New Roman"/>
                <w:sz w:val="20"/>
                <w:szCs w:val="20"/>
                <w:highlight w:val="none"/>
              </w:rPr>
              <w:t>。不超当年预算，不超上年决算。</w:t>
            </w:r>
          </w:p>
        </w:tc>
        <w:tc>
          <w:tcPr>
            <w:tcW w:w="3338" w:type="dxa"/>
            <w:tcMar>
              <w:top w:w="15" w:type="dxa"/>
              <w:left w:w="15" w:type="dxa"/>
              <w:right w:w="15" w:type="dxa"/>
            </w:tcMar>
            <w:vAlign w:val="center"/>
          </w:tcPr>
          <w:p>
            <w:pPr>
              <w:widowControl/>
              <w:textAlignment w:val="center"/>
              <w:rPr>
                <w:color w:val="000000"/>
                <w:sz w:val="20"/>
                <w:szCs w:val="20"/>
                <w:highlight w:val="none"/>
              </w:rPr>
            </w:pPr>
            <w:r>
              <w:rPr>
                <w:rStyle w:val="15"/>
                <w:sz w:val="20"/>
                <w:szCs w:val="20"/>
                <w:highlight w:val="none"/>
              </w:rPr>
              <w:t>“</w:t>
            </w:r>
            <w:r>
              <w:rPr>
                <w:rStyle w:val="14"/>
                <w:rFonts w:hint="default" w:ascii="Times New Roman" w:hAnsi="Times New Roman"/>
                <w:sz w:val="20"/>
                <w:szCs w:val="20"/>
                <w:highlight w:val="none"/>
              </w:rPr>
              <w:t>三公经费</w:t>
            </w:r>
            <w:r>
              <w:rPr>
                <w:rStyle w:val="15"/>
                <w:sz w:val="20"/>
                <w:szCs w:val="20"/>
                <w:highlight w:val="none"/>
              </w:rPr>
              <w:t>”</w:t>
            </w:r>
            <w:r>
              <w:rPr>
                <w:rStyle w:val="14"/>
                <w:rFonts w:hint="default" w:ascii="Times New Roman" w:hAnsi="Times New Roman"/>
                <w:sz w:val="20"/>
                <w:szCs w:val="20"/>
                <w:highlight w:val="none"/>
              </w:rPr>
              <w:t>控制率</w:t>
            </w:r>
            <w:r>
              <w:rPr>
                <w:rStyle w:val="15"/>
                <w:sz w:val="20"/>
                <w:szCs w:val="20"/>
                <w:highlight w:val="none"/>
              </w:rPr>
              <w:t>100%</w:t>
            </w:r>
            <w:r>
              <w:rPr>
                <w:rStyle w:val="14"/>
                <w:rFonts w:hint="default" w:ascii="Times New Roman" w:hAnsi="Times New Roman"/>
                <w:sz w:val="20"/>
                <w:szCs w:val="20"/>
                <w:highlight w:val="none"/>
              </w:rPr>
              <w:t>以下（含）计</w:t>
            </w:r>
            <w:r>
              <w:rPr>
                <w:rStyle w:val="15"/>
                <w:rFonts w:hint="eastAsia"/>
                <w:sz w:val="20"/>
                <w:szCs w:val="20"/>
                <w:highlight w:val="none"/>
              </w:rPr>
              <w:t>2</w:t>
            </w:r>
            <w:r>
              <w:rPr>
                <w:rStyle w:val="14"/>
                <w:rFonts w:hint="default" w:ascii="Times New Roman" w:hAnsi="Times New Roman"/>
                <w:sz w:val="20"/>
                <w:szCs w:val="20"/>
                <w:highlight w:val="none"/>
              </w:rPr>
              <w:t>分，每超出1%扣0.1分，扣完为止。</w:t>
            </w:r>
          </w:p>
        </w:tc>
        <w:tc>
          <w:tcPr>
            <w:tcW w:w="778" w:type="dxa"/>
            <w:tcMar>
              <w:top w:w="15" w:type="dxa"/>
              <w:left w:w="15" w:type="dxa"/>
              <w:right w:w="15" w:type="dxa"/>
            </w:tcMar>
            <w:vAlign w:val="center"/>
          </w:tcPr>
          <w:p>
            <w:pPr>
              <w:widowControl/>
              <w:jc w:val="center"/>
              <w:textAlignment w:val="center"/>
              <w:rPr>
                <w:rStyle w:val="15"/>
                <w:rFonts w:hint="eastAsia" w:eastAsiaTheme="minorEastAsia"/>
                <w:sz w:val="20"/>
                <w:szCs w:val="20"/>
                <w:highlight w:val="none"/>
                <w:lang w:val="en-US" w:eastAsia="zh-CN"/>
              </w:rPr>
            </w:pPr>
            <w:r>
              <w:rPr>
                <w:rStyle w:val="15"/>
                <w:rFonts w:hint="eastAsia"/>
                <w:sz w:val="20"/>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4"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vMerge w:val="continue"/>
            <w:tcBorders>
              <w:top w:val="nil"/>
            </w:tcBorders>
            <w:tcMar>
              <w:top w:w="15" w:type="dxa"/>
              <w:left w:w="15" w:type="dxa"/>
              <w:right w:w="15" w:type="dxa"/>
            </w:tcMar>
            <w:vAlign w:val="center"/>
          </w:tcPr>
          <w:p>
            <w:pPr>
              <w:jc w:val="center"/>
              <w:rPr>
                <w:color w:val="000000"/>
                <w:sz w:val="20"/>
                <w:szCs w:val="20"/>
                <w:highlight w:val="none"/>
              </w:rPr>
            </w:pPr>
          </w:p>
        </w:tc>
        <w:tc>
          <w:tcPr>
            <w:tcW w:w="833" w:type="dxa"/>
            <w:tcMar>
              <w:top w:w="15" w:type="dxa"/>
              <w:left w:w="15" w:type="dxa"/>
              <w:right w:w="15" w:type="dxa"/>
            </w:tcMar>
            <w:vAlign w:val="center"/>
          </w:tcPr>
          <w:p>
            <w:pPr>
              <w:widowControl/>
              <w:jc w:val="center"/>
              <w:textAlignment w:val="center"/>
              <w:rPr>
                <w:rFonts w:hint="eastAsia" w:eastAsiaTheme="minorEastAsia"/>
                <w:color w:val="000000"/>
                <w:kern w:val="0"/>
                <w:sz w:val="20"/>
                <w:szCs w:val="20"/>
                <w:highlight w:val="none"/>
                <w:lang w:eastAsia="zh-CN"/>
              </w:rPr>
            </w:pPr>
            <w:r>
              <w:rPr>
                <w:color w:val="000000"/>
                <w:kern w:val="0"/>
                <w:sz w:val="20"/>
                <w:szCs w:val="20"/>
                <w:highlight w:val="none"/>
              </w:rPr>
              <w:t>政府采购</w:t>
            </w:r>
          </w:p>
          <w:p>
            <w:pPr>
              <w:widowControl/>
              <w:jc w:val="center"/>
              <w:textAlignment w:val="center"/>
              <w:rPr>
                <w:rFonts w:hint="eastAsia" w:eastAsiaTheme="minorEastAsia"/>
                <w:color w:val="000000"/>
                <w:kern w:val="0"/>
                <w:sz w:val="20"/>
                <w:szCs w:val="20"/>
                <w:highlight w:val="none"/>
                <w:lang w:eastAsia="zh-CN"/>
              </w:rPr>
            </w:pPr>
            <w:r>
              <w:rPr>
                <w:color w:val="000000"/>
                <w:kern w:val="0"/>
                <w:sz w:val="20"/>
                <w:szCs w:val="20"/>
                <w:highlight w:val="none"/>
              </w:rPr>
              <w:t>执行率和</w:t>
            </w:r>
          </w:p>
          <w:p>
            <w:pPr>
              <w:widowControl/>
              <w:jc w:val="center"/>
              <w:textAlignment w:val="center"/>
              <w:rPr>
                <w:color w:val="000000"/>
                <w:sz w:val="20"/>
                <w:szCs w:val="20"/>
                <w:highlight w:val="none"/>
              </w:rPr>
            </w:pPr>
            <w:r>
              <w:rPr>
                <w:color w:val="000000"/>
                <w:kern w:val="0"/>
                <w:sz w:val="20"/>
                <w:szCs w:val="20"/>
                <w:highlight w:val="none"/>
              </w:rPr>
              <w:t>规范性</w:t>
            </w:r>
          </w:p>
        </w:tc>
        <w:tc>
          <w:tcPr>
            <w:tcW w:w="568" w:type="dxa"/>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rPr>
              <w:t>2</w:t>
            </w:r>
          </w:p>
        </w:tc>
        <w:tc>
          <w:tcPr>
            <w:tcW w:w="2808" w:type="dxa"/>
            <w:tcMar>
              <w:top w:w="15" w:type="dxa"/>
              <w:left w:w="15" w:type="dxa"/>
              <w:right w:w="15" w:type="dxa"/>
            </w:tcMar>
            <w:vAlign w:val="center"/>
          </w:tcPr>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政府采购执行率</w:t>
            </w:r>
            <w:r>
              <w:rPr>
                <w:rStyle w:val="15"/>
                <w:sz w:val="20"/>
                <w:szCs w:val="20"/>
                <w:highlight w:val="none"/>
              </w:rPr>
              <w:t>=</w:t>
            </w:r>
            <w:r>
              <w:rPr>
                <w:rStyle w:val="14"/>
                <w:rFonts w:hint="default" w:ascii="Times New Roman" w:hAnsi="Times New Roman"/>
                <w:sz w:val="20"/>
                <w:szCs w:val="20"/>
                <w:highlight w:val="none"/>
              </w:rPr>
              <w:t>（实际政府采购金额</w:t>
            </w:r>
            <w:r>
              <w:rPr>
                <w:rStyle w:val="15"/>
                <w:sz w:val="20"/>
                <w:szCs w:val="20"/>
                <w:highlight w:val="none"/>
              </w:rPr>
              <w:t>/</w:t>
            </w:r>
            <w:r>
              <w:rPr>
                <w:rStyle w:val="14"/>
                <w:rFonts w:hint="default" w:ascii="Times New Roman" w:hAnsi="Times New Roman"/>
                <w:sz w:val="20"/>
                <w:szCs w:val="20"/>
                <w:highlight w:val="none"/>
              </w:rPr>
              <w:t>政府采购预算数）</w:t>
            </w:r>
            <w:r>
              <w:rPr>
                <w:rStyle w:val="15"/>
                <w:sz w:val="20"/>
                <w:szCs w:val="20"/>
                <w:highlight w:val="none"/>
              </w:rPr>
              <w:t>×100%</w:t>
            </w:r>
            <w:r>
              <w:rPr>
                <w:rStyle w:val="14"/>
                <w:rFonts w:hint="default" w:ascii="Times New Roman" w:hAnsi="Times New Roman"/>
                <w:sz w:val="20"/>
                <w:szCs w:val="20"/>
                <w:highlight w:val="none"/>
              </w:rPr>
              <w:t>；</w:t>
            </w:r>
          </w:p>
          <w:p>
            <w:pPr>
              <w:widowControl/>
              <w:jc w:val="left"/>
              <w:textAlignment w:val="center"/>
              <w:rPr>
                <w:rStyle w:val="14"/>
                <w:rFonts w:hint="eastAsia" w:ascii="Times New Roman" w:hAnsi="Times New Roman" w:eastAsia="宋体"/>
                <w:spacing w:val="-6"/>
                <w:sz w:val="20"/>
                <w:szCs w:val="20"/>
                <w:highlight w:val="none"/>
                <w:lang w:eastAsia="zh-CN"/>
              </w:rPr>
            </w:pPr>
            <w:r>
              <w:rPr>
                <w:rStyle w:val="14"/>
                <w:rFonts w:hint="default" w:ascii="Times New Roman" w:hAnsi="Times New Roman"/>
                <w:spacing w:val="-6"/>
                <w:sz w:val="20"/>
                <w:szCs w:val="20"/>
                <w:highlight w:val="none"/>
              </w:rPr>
              <w:t>政府采购预算：采购机关根据事业发展计划和行政任务编制的、并经过规定程序批准的年度政府采购计划。</w:t>
            </w:r>
          </w:p>
          <w:p>
            <w:pPr>
              <w:widowControl/>
              <w:jc w:val="left"/>
              <w:textAlignment w:val="center"/>
              <w:rPr>
                <w:color w:val="000000"/>
                <w:sz w:val="20"/>
                <w:szCs w:val="20"/>
                <w:highlight w:val="none"/>
              </w:rPr>
            </w:pPr>
            <w:r>
              <w:rPr>
                <w:rStyle w:val="14"/>
                <w:rFonts w:hint="default" w:ascii="Times New Roman" w:hAnsi="Times New Roman"/>
                <w:sz w:val="20"/>
                <w:szCs w:val="20"/>
                <w:highlight w:val="none"/>
              </w:rPr>
              <w:t>预算单位严格执行《政府采购法》，无规避政府采购或化整为零进行政府采购的行为。所有项目必须依法采购，履行验收手续。</w:t>
            </w:r>
          </w:p>
        </w:tc>
        <w:tc>
          <w:tcPr>
            <w:tcW w:w="3338" w:type="dxa"/>
            <w:tcMar>
              <w:top w:w="15" w:type="dxa"/>
              <w:left w:w="15" w:type="dxa"/>
              <w:right w:w="15" w:type="dxa"/>
            </w:tcMar>
            <w:vAlign w:val="center"/>
          </w:tcPr>
          <w:p>
            <w:pPr>
              <w:widowControl/>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政府采购执行率</w:t>
            </w:r>
            <w:r>
              <w:rPr>
                <w:rStyle w:val="15"/>
                <w:sz w:val="20"/>
                <w:szCs w:val="20"/>
                <w:highlight w:val="none"/>
              </w:rPr>
              <w:t>100%</w:t>
            </w:r>
            <w:r>
              <w:rPr>
                <w:rStyle w:val="14"/>
                <w:rFonts w:hint="default" w:ascii="Times New Roman" w:hAnsi="Times New Roman"/>
                <w:sz w:val="20"/>
                <w:szCs w:val="20"/>
                <w:highlight w:val="none"/>
              </w:rPr>
              <w:t>计</w:t>
            </w:r>
            <w:r>
              <w:rPr>
                <w:rStyle w:val="15"/>
                <w:sz w:val="20"/>
                <w:szCs w:val="20"/>
                <w:highlight w:val="none"/>
              </w:rPr>
              <w:t>1</w:t>
            </w:r>
            <w:r>
              <w:rPr>
                <w:rStyle w:val="14"/>
                <w:rFonts w:hint="default" w:ascii="Times New Roman" w:hAnsi="Times New Roman"/>
                <w:sz w:val="20"/>
                <w:szCs w:val="20"/>
                <w:highlight w:val="none"/>
              </w:rPr>
              <w:t>分，每超过（降低）</w:t>
            </w:r>
            <w:r>
              <w:rPr>
                <w:rStyle w:val="15"/>
                <w:sz w:val="20"/>
                <w:szCs w:val="20"/>
                <w:highlight w:val="none"/>
              </w:rPr>
              <w:t>1%</w:t>
            </w:r>
            <w:r>
              <w:rPr>
                <w:rStyle w:val="14"/>
                <w:rFonts w:hint="default" w:ascii="Times New Roman" w:hAnsi="Times New Roman"/>
                <w:sz w:val="20"/>
                <w:szCs w:val="20"/>
                <w:highlight w:val="none"/>
              </w:rPr>
              <w:t>扣</w:t>
            </w:r>
            <w:r>
              <w:rPr>
                <w:rStyle w:val="15"/>
                <w:sz w:val="20"/>
                <w:szCs w:val="20"/>
                <w:highlight w:val="none"/>
              </w:rPr>
              <w:t>0.1</w:t>
            </w:r>
            <w:r>
              <w:rPr>
                <w:rStyle w:val="14"/>
                <w:rFonts w:hint="default" w:ascii="Times New Roman" w:hAnsi="Times New Roman"/>
                <w:sz w:val="20"/>
                <w:szCs w:val="20"/>
                <w:highlight w:val="none"/>
              </w:rPr>
              <w:t>分，扣完为止。</w:t>
            </w:r>
          </w:p>
          <w:p>
            <w:pPr>
              <w:widowControl/>
              <w:textAlignment w:val="center"/>
              <w:rPr>
                <w:color w:val="000000"/>
                <w:sz w:val="20"/>
                <w:szCs w:val="20"/>
                <w:highlight w:val="none"/>
              </w:rPr>
            </w:pPr>
            <w:r>
              <w:rPr>
                <w:rStyle w:val="14"/>
                <w:rFonts w:hint="default" w:ascii="Times New Roman" w:hAnsi="Times New Roman"/>
                <w:sz w:val="20"/>
                <w:szCs w:val="20"/>
                <w:highlight w:val="none"/>
              </w:rPr>
              <w:t>所有项目依法采购，无规避政府采购或化整为零进行政府采购的行为，并履行验收手续计1分，否则不得分。</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2"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vMerge w:val="restart"/>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预算</w:t>
            </w:r>
          </w:p>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管理</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w:t>
            </w:r>
            <w:r>
              <w:rPr>
                <w:rStyle w:val="15"/>
                <w:rFonts w:hint="default" w:ascii="Times New Roman"/>
                <w:sz w:val="20"/>
                <w:szCs w:val="20"/>
                <w:highlight w:val="none"/>
              </w:rPr>
              <w:t>9</w:t>
            </w:r>
            <w:r>
              <w:rPr>
                <w:rStyle w:val="14"/>
                <w:rFonts w:hint="default" w:ascii="Times New Roman" w:hAnsi="Times New Roman"/>
                <w:sz w:val="20"/>
                <w:szCs w:val="20"/>
                <w:highlight w:val="none"/>
              </w:rPr>
              <w:t>分）</w:t>
            </w:r>
          </w:p>
        </w:tc>
        <w:tc>
          <w:tcPr>
            <w:tcW w:w="833"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管理制度</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健全性</w:t>
            </w:r>
          </w:p>
        </w:tc>
        <w:tc>
          <w:tcPr>
            <w:tcW w:w="568" w:type="dxa"/>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rPr>
              <w:t>3</w:t>
            </w:r>
          </w:p>
        </w:tc>
        <w:tc>
          <w:tcPr>
            <w:tcW w:w="2808" w:type="dxa"/>
            <w:tcMar>
              <w:top w:w="15" w:type="dxa"/>
              <w:left w:w="15" w:type="dxa"/>
              <w:right w:w="15" w:type="dxa"/>
            </w:tcMar>
            <w:vAlign w:val="center"/>
          </w:tcPr>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部门（单位）内控制度、内部财务管理制度和会计核算制度是否健全；</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相关管理制度（资金管理制度、项目管理制度）是否健全、是否合法合规、是否完整；</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③相关管理制度是否得到有效执行</w:t>
            </w:r>
            <w:r>
              <w:rPr>
                <w:rStyle w:val="14"/>
                <w:rFonts w:hint="eastAsia" w:ascii="Times New Roman" w:hAnsi="Times New Roman"/>
                <w:sz w:val="20"/>
                <w:szCs w:val="20"/>
                <w:highlight w:val="none"/>
                <w:lang w:eastAsia="zh-CN"/>
              </w:rPr>
              <w:t>；</w:t>
            </w:r>
          </w:p>
          <w:p>
            <w:pPr>
              <w:widowControl/>
              <w:jc w:val="left"/>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sz w:val="20"/>
                <w:szCs w:val="20"/>
                <w:highlight w:val="none"/>
                <w:lang w:val="en-US" w:eastAsia="zh-CN"/>
              </w:rPr>
              <w:t>④落实</w:t>
            </w:r>
            <w:r>
              <w:rPr>
                <w:rStyle w:val="15"/>
                <w:rFonts w:hint="eastAsia"/>
                <w:sz w:val="20"/>
                <w:szCs w:val="20"/>
                <w:highlight w:val="none"/>
                <w:lang w:val="en-US" w:eastAsia="zh-CN"/>
              </w:rPr>
              <w:t>政府2021年“过紧日子”政策的具体举措及实施情况。</w:t>
            </w:r>
          </w:p>
        </w:tc>
        <w:tc>
          <w:tcPr>
            <w:tcW w:w="3338" w:type="dxa"/>
            <w:tcMar>
              <w:top w:w="15" w:type="dxa"/>
              <w:left w:w="15" w:type="dxa"/>
              <w:right w:w="15" w:type="dxa"/>
            </w:tcMar>
            <w:vAlign w:val="center"/>
          </w:tcPr>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部门（单位）内控制度、内部财务管理制度和会计核算制度健全，计</w:t>
            </w:r>
            <w:r>
              <w:rPr>
                <w:rStyle w:val="15"/>
                <w:sz w:val="20"/>
                <w:szCs w:val="20"/>
                <w:highlight w:val="none"/>
              </w:rPr>
              <w:t>1</w:t>
            </w:r>
            <w:r>
              <w:rPr>
                <w:rStyle w:val="14"/>
                <w:rFonts w:hint="default" w:ascii="Times New Roman" w:hAnsi="Times New Roman"/>
                <w:sz w:val="20"/>
                <w:szCs w:val="20"/>
                <w:highlight w:val="none"/>
              </w:rPr>
              <w:t>分，否则酌情扣分；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管理制度合法、合规、完整，计</w:t>
            </w:r>
            <w:r>
              <w:rPr>
                <w:rStyle w:val="15"/>
                <w:sz w:val="20"/>
                <w:szCs w:val="20"/>
                <w:highlight w:val="none"/>
              </w:rPr>
              <w:t>1</w:t>
            </w:r>
            <w:r>
              <w:rPr>
                <w:rStyle w:val="14"/>
                <w:rFonts w:hint="default" w:ascii="Times New Roman" w:hAnsi="Times New Roman"/>
                <w:sz w:val="20"/>
                <w:szCs w:val="20"/>
                <w:highlight w:val="none"/>
              </w:rPr>
              <w:t>分，否则酌情扣分；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③</w:t>
            </w:r>
            <w:r>
              <w:rPr>
                <w:rStyle w:val="14"/>
                <w:rFonts w:hint="default" w:ascii="Times New Roman" w:hAnsi="Times New Roman"/>
                <w:sz w:val="20"/>
                <w:szCs w:val="20"/>
                <w:highlight w:val="none"/>
              </w:rPr>
              <w:t>管理制度得到有效执行，计</w:t>
            </w:r>
            <w:r>
              <w:rPr>
                <w:rStyle w:val="15"/>
                <w:rFonts w:hint="eastAsia"/>
                <w:sz w:val="20"/>
                <w:szCs w:val="20"/>
                <w:highlight w:val="none"/>
                <w:lang w:val="en-US" w:eastAsia="zh-CN"/>
              </w:rPr>
              <w:t>0.5</w:t>
            </w:r>
            <w:r>
              <w:rPr>
                <w:rStyle w:val="14"/>
                <w:rFonts w:hint="default" w:ascii="Times New Roman" w:hAnsi="Times New Roman"/>
                <w:sz w:val="20"/>
                <w:szCs w:val="20"/>
                <w:highlight w:val="none"/>
              </w:rPr>
              <w:t>分，</w:t>
            </w:r>
            <w:r>
              <w:rPr>
                <w:rStyle w:val="15"/>
                <w:sz w:val="20"/>
                <w:szCs w:val="20"/>
                <w:highlight w:val="none"/>
              </w:rPr>
              <w:t>1</w:t>
            </w:r>
            <w:r>
              <w:rPr>
                <w:rStyle w:val="14"/>
                <w:rFonts w:hint="default" w:ascii="Times New Roman" w:hAnsi="Times New Roman"/>
                <w:sz w:val="20"/>
                <w:szCs w:val="20"/>
                <w:highlight w:val="none"/>
              </w:rPr>
              <w:t>例不符合扣</w:t>
            </w:r>
            <w:r>
              <w:rPr>
                <w:rStyle w:val="15"/>
                <w:sz w:val="20"/>
                <w:szCs w:val="20"/>
                <w:highlight w:val="none"/>
              </w:rPr>
              <w:t>0.</w:t>
            </w:r>
            <w:r>
              <w:rPr>
                <w:rStyle w:val="15"/>
                <w:rFonts w:hint="eastAsia"/>
                <w:sz w:val="20"/>
                <w:szCs w:val="20"/>
                <w:highlight w:val="none"/>
                <w:lang w:val="en-US" w:eastAsia="zh-CN"/>
              </w:rPr>
              <w:t>1</w:t>
            </w:r>
            <w:r>
              <w:rPr>
                <w:rStyle w:val="14"/>
                <w:rFonts w:hint="default" w:ascii="Times New Roman" w:hAnsi="Times New Roman"/>
                <w:sz w:val="20"/>
                <w:szCs w:val="20"/>
                <w:highlight w:val="none"/>
              </w:rPr>
              <w:t>分</w:t>
            </w:r>
            <w:r>
              <w:rPr>
                <w:rStyle w:val="14"/>
                <w:rFonts w:hint="eastAsia" w:ascii="Times New Roman" w:hAnsi="Times New Roman"/>
                <w:sz w:val="20"/>
                <w:szCs w:val="20"/>
                <w:highlight w:val="none"/>
                <w:lang w:eastAsia="zh-CN"/>
              </w:rPr>
              <w:t>；</w:t>
            </w:r>
          </w:p>
          <w:p>
            <w:pPr>
              <w:widowControl/>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④对非刚性项目支出压减5%及以上，计0.5分，否则不得分。</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4"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vMerge w:val="continue"/>
            <w:tcMar>
              <w:top w:w="15" w:type="dxa"/>
              <w:left w:w="15" w:type="dxa"/>
              <w:right w:w="15" w:type="dxa"/>
            </w:tcMar>
            <w:vAlign w:val="center"/>
          </w:tcPr>
          <w:p>
            <w:pPr>
              <w:jc w:val="center"/>
              <w:rPr>
                <w:color w:val="000000"/>
                <w:sz w:val="20"/>
                <w:szCs w:val="20"/>
                <w:highlight w:val="none"/>
              </w:rPr>
            </w:pPr>
          </w:p>
        </w:tc>
        <w:tc>
          <w:tcPr>
            <w:tcW w:w="833"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资金使用</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合规性</w:t>
            </w:r>
          </w:p>
        </w:tc>
        <w:tc>
          <w:tcPr>
            <w:tcW w:w="568" w:type="dxa"/>
            <w:tcMar>
              <w:top w:w="15" w:type="dxa"/>
              <w:left w:w="15" w:type="dxa"/>
              <w:right w:w="15" w:type="dxa"/>
            </w:tcMar>
            <w:vAlign w:val="center"/>
          </w:tcPr>
          <w:p>
            <w:pPr>
              <w:widowControl/>
              <w:jc w:val="center"/>
              <w:textAlignment w:val="center"/>
              <w:rPr>
                <w:color w:val="000000"/>
                <w:sz w:val="20"/>
                <w:szCs w:val="20"/>
                <w:highlight w:val="none"/>
              </w:rPr>
            </w:pPr>
            <w:r>
              <w:rPr>
                <w:rFonts w:hint="eastAsia"/>
                <w:color w:val="000000"/>
                <w:kern w:val="0"/>
                <w:sz w:val="20"/>
                <w:szCs w:val="20"/>
                <w:highlight w:val="none"/>
              </w:rPr>
              <w:t>6</w:t>
            </w:r>
          </w:p>
        </w:tc>
        <w:tc>
          <w:tcPr>
            <w:tcW w:w="2808" w:type="dxa"/>
            <w:tcMar>
              <w:top w:w="15" w:type="dxa"/>
              <w:left w:w="15" w:type="dxa"/>
              <w:right w:w="15" w:type="dxa"/>
            </w:tcMar>
            <w:vAlign w:val="center"/>
          </w:tcPr>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是否符合国家财经法规和财务管理制度以及有关专项资金管理办法的规定；</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资金的支付是否有完整的审批程序和手续；</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③</w:t>
            </w:r>
            <w:r>
              <w:rPr>
                <w:rStyle w:val="14"/>
                <w:rFonts w:hint="default" w:ascii="Times New Roman" w:hAnsi="Times New Roman"/>
                <w:sz w:val="20"/>
                <w:szCs w:val="20"/>
                <w:highlight w:val="none"/>
              </w:rPr>
              <w:t>重大项目开支和大额资金使用是否经单位党组集体研究决策；</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④</w:t>
            </w:r>
            <w:r>
              <w:rPr>
                <w:rStyle w:val="14"/>
                <w:rFonts w:hint="default" w:ascii="Times New Roman" w:hAnsi="Times New Roman"/>
                <w:sz w:val="20"/>
                <w:szCs w:val="20"/>
                <w:highlight w:val="none"/>
              </w:rPr>
              <w:t>是否符合项目预算批复或合同规定的用途；</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⑤</w:t>
            </w:r>
            <w:r>
              <w:rPr>
                <w:rStyle w:val="14"/>
                <w:rFonts w:hint="default" w:ascii="Times New Roman" w:hAnsi="Times New Roman"/>
                <w:sz w:val="20"/>
                <w:szCs w:val="20"/>
                <w:highlight w:val="none"/>
              </w:rPr>
              <w:t>是否存在截留、挤占、挪用、虚列支出等情况；</w:t>
            </w:r>
          </w:p>
          <w:p>
            <w:pPr>
              <w:widowControl/>
              <w:jc w:val="left"/>
              <w:textAlignment w:val="center"/>
              <w:rPr>
                <w:color w:val="000000"/>
                <w:sz w:val="20"/>
                <w:szCs w:val="20"/>
                <w:highlight w:val="none"/>
              </w:rPr>
            </w:pPr>
            <w:r>
              <w:rPr>
                <w:rStyle w:val="14"/>
                <w:rFonts w:hint="default"/>
                <w:sz w:val="20"/>
                <w:szCs w:val="20"/>
                <w:highlight w:val="none"/>
              </w:rPr>
              <w:t>⑥</w:t>
            </w:r>
            <w:r>
              <w:rPr>
                <w:rStyle w:val="14"/>
                <w:rFonts w:hint="default" w:ascii="Times New Roman" w:hAnsi="Times New Roman"/>
                <w:sz w:val="20"/>
                <w:szCs w:val="20"/>
                <w:highlight w:val="none"/>
              </w:rPr>
              <w:t>是否存在重复申报项目、虚报冒领资金。</w:t>
            </w:r>
          </w:p>
        </w:tc>
        <w:tc>
          <w:tcPr>
            <w:tcW w:w="3338" w:type="dxa"/>
            <w:tcMar>
              <w:top w:w="15" w:type="dxa"/>
              <w:left w:w="15" w:type="dxa"/>
              <w:right w:w="15" w:type="dxa"/>
            </w:tcMar>
            <w:vAlign w:val="center"/>
          </w:tcPr>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符合国家财经法规和财务管理制度以及有关专项资金管理办法的规定，计</w:t>
            </w:r>
            <w:r>
              <w:rPr>
                <w:rStyle w:val="15"/>
                <w:sz w:val="20"/>
                <w:szCs w:val="20"/>
                <w:highlight w:val="none"/>
              </w:rPr>
              <w:t>1</w:t>
            </w:r>
            <w:r>
              <w:rPr>
                <w:rStyle w:val="14"/>
                <w:rFonts w:hint="default" w:ascii="Times New Roman" w:hAnsi="Times New Roman"/>
                <w:sz w:val="20"/>
                <w:szCs w:val="20"/>
                <w:highlight w:val="none"/>
              </w:rPr>
              <w:t>分，</w:t>
            </w:r>
            <w:r>
              <w:rPr>
                <w:rStyle w:val="15"/>
                <w:sz w:val="20"/>
                <w:szCs w:val="20"/>
                <w:highlight w:val="none"/>
              </w:rPr>
              <w:t>1</w:t>
            </w:r>
            <w:r>
              <w:rPr>
                <w:rStyle w:val="14"/>
                <w:rFonts w:hint="default" w:ascii="Times New Roman" w:hAnsi="Times New Roman"/>
                <w:sz w:val="20"/>
                <w:szCs w:val="20"/>
                <w:highlight w:val="none"/>
              </w:rPr>
              <w:t>例不符合扣</w:t>
            </w:r>
            <w:r>
              <w:rPr>
                <w:rStyle w:val="15"/>
                <w:sz w:val="20"/>
                <w:szCs w:val="20"/>
                <w:highlight w:val="none"/>
              </w:rPr>
              <w:t>0.2</w:t>
            </w:r>
            <w:r>
              <w:rPr>
                <w:rStyle w:val="14"/>
                <w:rFonts w:hint="default" w:ascii="Times New Roman" w:hAnsi="Times New Roman"/>
                <w:sz w:val="20"/>
                <w:szCs w:val="20"/>
                <w:highlight w:val="none"/>
              </w:rPr>
              <w:t>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资金的支付有完整的审批程序和手续，计</w:t>
            </w:r>
            <w:r>
              <w:rPr>
                <w:rStyle w:val="15"/>
                <w:sz w:val="20"/>
                <w:szCs w:val="20"/>
                <w:highlight w:val="none"/>
              </w:rPr>
              <w:t>1</w:t>
            </w:r>
            <w:r>
              <w:rPr>
                <w:rStyle w:val="14"/>
                <w:rFonts w:hint="default" w:ascii="Times New Roman" w:hAnsi="Times New Roman"/>
                <w:sz w:val="20"/>
                <w:szCs w:val="20"/>
                <w:highlight w:val="none"/>
              </w:rPr>
              <w:t>分，</w:t>
            </w:r>
            <w:r>
              <w:rPr>
                <w:rStyle w:val="15"/>
                <w:sz w:val="20"/>
                <w:szCs w:val="20"/>
                <w:highlight w:val="none"/>
              </w:rPr>
              <w:t>1</w:t>
            </w:r>
            <w:r>
              <w:rPr>
                <w:rStyle w:val="14"/>
                <w:rFonts w:hint="default" w:ascii="Times New Roman" w:hAnsi="Times New Roman"/>
                <w:sz w:val="20"/>
                <w:szCs w:val="20"/>
                <w:highlight w:val="none"/>
              </w:rPr>
              <w:t>例不符合扣</w:t>
            </w:r>
            <w:r>
              <w:rPr>
                <w:rStyle w:val="15"/>
                <w:sz w:val="20"/>
                <w:szCs w:val="20"/>
                <w:highlight w:val="none"/>
              </w:rPr>
              <w:t>0.2</w:t>
            </w:r>
            <w:r>
              <w:rPr>
                <w:rStyle w:val="14"/>
                <w:rFonts w:hint="default" w:ascii="Times New Roman" w:hAnsi="Times New Roman"/>
                <w:sz w:val="20"/>
                <w:szCs w:val="20"/>
                <w:highlight w:val="none"/>
              </w:rPr>
              <w:t>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③</w:t>
            </w:r>
            <w:r>
              <w:rPr>
                <w:rStyle w:val="14"/>
                <w:rFonts w:hint="default" w:ascii="Times New Roman" w:hAnsi="Times New Roman"/>
                <w:sz w:val="20"/>
                <w:szCs w:val="20"/>
                <w:highlight w:val="none"/>
              </w:rPr>
              <w:t>重大项目开支和大额资金使用经过单位党组集体研究决策，计</w:t>
            </w:r>
            <w:r>
              <w:rPr>
                <w:rStyle w:val="15"/>
                <w:sz w:val="20"/>
                <w:szCs w:val="20"/>
                <w:highlight w:val="none"/>
              </w:rPr>
              <w:t>1</w:t>
            </w:r>
            <w:r>
              <w:rPr>
                <w:rStyle w:val="14"/>
                <w:rFonts w:hint="default" w:ascii="Times New Roman" w:hAnsi="Times New Roman"/>
                <w:sz w:val="20"/>
                <w:szCs w:val="20"/>
                <w:highlight w:val="none"/>
              </w:rPr>
              <w:t>分，</w:t>
            </w:r>
            <w:r>
              <w:rPr>
                <w:rStyle w:val="15"/>
                <w:sz w:val="20"/>
                <w:szCs w:val="20"/>
                <w:highlight w:val="none"/>
              </w:rPr>
              <w:t>1</w:t>
            </w:r>
            <w:r>
              <w:rPr>
                <w:rStyle w:val="14"/>
                <w:rFonts w:hint="default" w:ascii="Times New Roman" w:hAnsi="Times New Roman"/>
                <w:sz w:val="20"/>
                <w:szCs w:val="20"/>
                <w:highlight w:val="none"/>
              </w:rPr>
              <w:t>例不符合扣</w:t>
            </w:r>
            <w:r>
              <w:rPr>
                <w:rStyle w:val="15"/>
                <w:sz w:val="20"/>
                <w:szCs w:val="20"/>
                <w:highlight w:val="none"/>
              </w:rPr>
              <w:t>0.2</w:t>
            </w:r>
            <w:r>
              <w:rPr>
                <w:rStyle w:val="14"/>
                <w:rFonts w:hint="default" w:ascii="Times New Roman" w:hAnsi="Times New Roman"/>
                <w:sz w:val="20"/>
                <w:szCs w:val="20"/>
                <w:highlight w:val="none"/>
              </w:rPr>
              <w:t>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④</w:t>
            </w:r>
            <w:r>
              <w:rPr>
                <w:rStyle w:val="14"/>
                <w:rFonts w:hint="default" w:ascii="Times New Roman" w:hAnsi="Times New Roman"/>
                <w:sz w:val="20"/>
                <w:szCs w:val="20"/>
                <w:highlight w:val="none"/>
              </w:rPr>
              <w:t>符合项目预算批复或合同规定的用途，计</w:t>
            </w:r>
            <w:r>
              <w:rPr>
                <w:rStyle w:val="15"/>
                <w:sz w:val="20"/>
                <w:szCs w:val="20"/>
                <w:highlight w:val="none"/>
              </w:rPr>
              <w:t>1</w:t>
            </w:r>
            <w:r>
              <w:rPr>
                <w:rStyle w:val="14"/>
                <w:rFonts w:hint="default" w:ascii="Times New Roman" w:hAnsi="Times New Roman"/>
                <w:sz w:val="20"/>
                <w:szCs w:val="20"/>
                <w:highlight w:val="none"/>
              </w:rPr>
              <w:t>分，</w:t>
            </w:r>
            <w:r>
              <w:rPr>
                <w:rStyle w:val="15"/>
                <w:sz w:val="20"/>
                <w:szCs w:val="20"/>
                <w:highlight w:val="none"/>
              </w:rPr>
              <w:t>1</w:t>
            </w:r>
            <w:r>
              <w:rPr>
                <w:rStyle w:val="14"/>
                <w:rFonts w:hint="default" w:ascii="Times New Roman" w:hAnsi="Times New Roman"/>
                <w:sz w:val="20"/>
                <w:szCs w:val="20"/>
                <w:highlight w:val="none"/>
              </w:rPr>
              <w:t>例不符合扣</w:t>
            </w:r>
            <w:r>
              <w:rPr>
                <w:rStyle w:val="15"/>
                <w:sz w:val="20"/>
                <w:szCs w:val="20"/>
                <w:highlight w:val="none"/>
              </w:rPr>
              <w:t>0.2</w:t>
            </w:r>
            <w:r>
              <w:rPr>
                <w:rStyle w:val="14"/>
                <w:rFonts w:hint="default" w:ascii="Times New Roman" w:hAnsi="Times New Roman"/>
                <w:sz w:val="20"/>
                <w:szCs w:val="20"/>
                <w:highlight w:val="none"/>
              </w:rPr>
              <w:t>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⑤</w:t>
            </w:r>
            <w:r>
              <w:rPr>
                <w:rStyle w:val="14"/>
                <w:rFonts w:hint="default" w:ascii="Times New Roman" w:hAnsi="Times New Roman"/>
                <w:sz w:val="20"/>
                <w:szCs w:val="20"/>
                <w:highlight w:val="none"/>
              </w:rPr>
              <w:t>不存在截留、挤占、挪用、虚列支出等情况，计</w:t>
            </w:r>
            <w:r>
              <w:rPr>
                <w:rStyle w:val="15"/>
                <w:sz w:val="20"/>
                <w:szCs w:val="20"/>
                <w:highlight w:val="none"/>
              </w:rPr>
              <w:t>1</w:t>
            </w:r>
            <w:r>
              <w:rPr>
                <w:rStyle w:val="14"/>
                <w:rFonts w:hint="default" w:ascii="Times New Roman" w:hAnsi="Times New Roman"/>
                <w:sz w:val="20"/>
                <w:szCs w:val="20"/>
                <w:highlight w:val="none"/>
              </w:rPr>
              <w:t>分，</w:t>
            </w:r>
            <w:r>
              <w:rPr>
                <w:rStyle w:val="15"/>
                <w:sz w:val="20"/>
                <w:szCs w:val="20"/>
                <w:highlight w:val="none"/>
              </w:rPr>
              <w:t>1</w:t>
            </w:r>
            <w:r>
              <w:rPr>
                <w:rStyle w:val="14"/>
                <w:rFonts w:hint="default" w:ascii="Times New Roman" w:hAnsi="Times New Roman"/>
                <w:sz w:val="20"/>
                <w:szCs w:val="20"/>
                <w:highlight w:val="none"/>
              </w:rPr>
              <w:t>例不符合本指标</w:t>
            </w:r>
            <w:r>
              <w:rPr>
                <w:rStyle w:val="15"/>
                <w:sz w:val="20"/>
                <w:szCs w:val="20"/>
                <w:highlight w:val="none"/>
              </w:rPr>
              <w:t>6</w:t>
            </w:r>
            <w:r>
              <w:rPr>
                <w:rStyle w:val="14"/>
                <w:rFonts w:hint="default" w:ascii="Times New Roman" w:hAnsi="Times New Roman"/>
                <w:sz w:val="20"/>
                <w:szCs w:val="20"/>
                <w:highlight w:val="none"/>
              </w:rPr>
              <w:t>分全扣；</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⑥</w:t>
            </w:r>
            <w:r>
              <w:rPr>
                <w:rStyle w:val="14"/>
                <w:rFonts w:hint="default" w:ascii="Times New Roman" w:hAnsi="Times New Roman"/>
                <w:spacing w:val="-6"/>
                <w:sz w:val="20"/>
                <w:szCs w:val="20"/>
                <w:highlight w:val="none"/>
              </w:rPr>
              <w:t>不存在重复申报项目、虚报冒领资金，计</w:t>
            </w:r>
            <w:r>
              <w:rPr>
                <w:rStyle w:val="15"/>
                <w:spacing w:val="-6"/>
                <w:sz w:val="20"/>
                <w:szCs w:val="20"/>
                <w:highlight w:val="none"/>
              </w:rPr>
              <w:t>1</w:t>
            </w:r>
            <w:r>
              <w:rPr>
                <w:rStyle w:val="14"/>
                <w:rFonts w:hint="default" w:ascii="Times New Roman" w:hAnsi="Times New Roman"/>
                <w:spacing w:val="-6"/>
                <w:sz w:val="20"/>
                <w:szCs w:val="20"/>
                <w:highlight w:val="none"/>
              </w:rPr>
              <w:t>分，</w:t>
            </w:r>
            <w:r>
              <w:rPr>
                <w:rStyle w:val="15"/>
                <w:spacing w:val="-6"/>
                <w:sz w:val="20"/>
                <w:szCs w:val="20"/>
                <w:highlight w:val="none"/>
              </w:rPr>
              <w:t>1</w:t>
            </w:r>
            <w:r>
              <w:rPr>
                <w:rStyle w:val="14"/>
                <w:rFonts w:hint="default" w:ascii="Times New Roman" w:hAnsi="Times New Roman"/>
                <w:spacing w:val="-6"/>
                <w:sz w:val="20"/>
                <w:szCs w:val="20"/>
                <w:highlight w:val="none"/>
              </w:rPr>
              <w:t>例不符合本指标6分全扣</w:t>
            </w:r>
            <w:r>
              <w:rPr>
                <w:rStyle w:val="14"/>
                <w:rFonts w:hint="default" w:ascii="Times New Roman" w:hAnsi="Times New Roman"/>
                <w:sz w:val="20"/>
                <w:szCs w:val="20"/>
                <w:highlight w:val="none"/>
              </w:rPr>
              <w:t>。</w:t>
            </w:r>
          </w:p>
          <w:p>
            <w:pPr>
              <w:pStyle w:val="2"/>
              <w:rPr>
                <w:rFonts w:hint="eastAsia"/>
                <w:lang w:eastAsia="zh-CN"/>
              </w:rPr>
            </w:pP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68" w:type="dxa"/>
            <w:vMerge w:val="continue"/>
            <w:tcMar>
              <w:top w:w="15" w:type="dxa"/>
              <w:left w:w="15" w:type="dxa"/>
              <w:right w:w="15" w:type="dxa"/>
            </w:tcMar>
            <w:vAlign w:val="center"/>
          </w:tcPr>
          <w:p>
            <w:pPr>
              <w:jc w:val="center"/>
              <w:rPr>
                <w:rStyle w:val="14"/>
                <w:rFonts w:hint="default" w:ascii="Times New Roman" w:hAnsi="Times New Roman"/>
                <w:sz w:val="20"/>
                <w:szCs w:val="20"/>
                <w:highlight w:val="none"/>
              </w:rPr>
            </w:pPr>
          </w:p>
        </w:tc>
        <w:tc>
          <w:tcPr>
            <w:tcW w:w="737" w:type="dxa"/>
            <w:vMerge w:val="restart"/>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预算</w:t>
            </w:r>
          </w:p>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管理</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w:t>
            </w:r>
            <w:r>
              <w:rPr>
                <w:rStyle w:val="15"/>
                <w:rFonts w:hint="eastAsia"/>
                <w:sz w:val="20"/>
                <w:szCs w:val="20"/>
                <w:highlight w:val="none"/>
              </w:rPr>
              <w:t>11</w:t>
            </w:r>
            <w:r>
              <w:rPr>
                <w:rStyle w:val="14"/>
                <w:rFonts w:hint="default" w:ascii="Times New Roman" w:hAnsi="Times New Roman"/>
                <w:sz w:val="20"/>
                <w:szCs w:val="20"/>
                <w:highlight w:val="none"/>
              </w:rPr>
              <w:t>分）</w:t>
            </w:r>
          </w:p>
        </w:tc>
        <w:tc>
          <w:tcPr>
            <w:tcW w:w="833" w:type="dxa"/>
            <w:tcMar>
              <w:top w:w="15" w:type="dxa"/>
              <w:left w:w="15" w:type="dxa"/>
              <w:right w:w="15" w:type="dxa"/>
            </w:tcMar>
            <w:vAlign w:val="center"/>
          </w:tcPr>
          <w:p>
            <w:pPr>
              <w:widowControl/>
              <w:jc w:val="center"/>
              <w:textAlignment w:val="center"/>
              <w:rPr>
                <w:color w:val="000000"/>
                <w:kern w:val="0"/>
                <w:sz w:val="20"/>
                <w:szCs w:val="20"/>
                <w:highlight w:val="none"/>
              </w:rPr>
            </w:pPr>
            <w:r>
              <w:rPr>
                <w:color w:val="000000"/>
                <w:kern w:val="0"/>
                <w:sz w:val="20"/>
                <w:szCs w:val="20"/>
                <w:highlight w:val="none"/>
              </w:rPr>
              <w:t>信息</w:t>
            </w:r>
          </w:p>
          <w:p>
            <w:pPr>
              <w:widowControl/>
              <w:jc w:val="center"/>
              <w:textAlignment w:val="center"/>
              <w:rPr>
                <w:color w:val="000000"/>
                <w:sz w:val="20"/>
                <w:szCs w:val="20"/>
                <w:highlight w:val="none"/>
              </w:rPr>
            </w:pPr>
            <w:r>
              <w:rPr>
                <w:color w:val="000000"/>
                <w:kern w:val="0"/>
                <w:sz w:val="20"/>
                <w:szCs w:val="20"/>
                <w:highlight w:val="none"/>
              </w:rPr>
              <w:t>公开性</w:t>
            </w:r>
          </w:p>
        </w:tc>
        <w:tc>
          <w:tcPr>
            <w:tcW w:w="568" w:type="dxa"/>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rPr>
              <w:t>2</w:t>
            </w:r>
          </w:p>
        </w:tc>
        <w:tc>
          <w:tcPr>
            <w:tcW w:w="2808" w:type="dxa"/>
            <w:tcMar>
              <w:top w:w="15" w:type="dxa"/>
              <w:left w:w="15" w:type="dxa"/>
              <w:right w:w="15" w:type="dxa"/>
            </w:tcMar>
            <w:vAlign w:val="center"/>
          </w:tcPr>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预算单位按规定及时、准确、完整的公开预决算和绩效管理信息；</w:t>
            </w:r>
          </w:p>
          <w:p>
            <w:pPr>
              <w:widowControl/>
              <w:jc w:val="left"/>
              <w:textAlignment w:val="center"/>
              <w:rPr>
                <w:color w:val="000000"/>
                <w:sz w:val="20"/>
                <w:szCs w:val="20"/>
                <w:highlight w:val="none"/>
              </w:rPr>
            </w:pPr>
            <w:r>
              <w:rPr>
                <w:rStyle w:val="14"/>
                <w:rFonts w:hint="default"/>
                <w:sz w:val="20"/>
                <w:szCs w:val="20"/>
                <w:highlight w:val="none"/>
              </w:rPr>
              <w:t>②</w:t>
            </w:r>
            <w:r>
              <w:rPr>
                <w:rStyle w:val="14"/>
                <w:rFonts w:hint="default" w:ascii="Times New Roman" w:hAnsi="Times New Roman"/>
                <w:sz w:val="20"/>
                <w:szCs w:val="20"/>
                <w:highlight w:val="none"/>
              </w:rPr>
              <w:t>基础数据信息和会计信息资料真实、准确、完整。</w:t>
            </w:r>
          </w:p>
        </w:tc>
        <w:tc>
          <w:tcPr>
            <w:tcW w:w="3338" w:type="dxa"/>
            <w:tcMar>
              <w:top w:w="15" w:type="dxa"/>
              <w:left w:w="15" w:type="dxa"/>
              <w:right w:w="15" w:type="dxa"/>
            </w:tcMar>
            <w:vAlign w:val="center"/>
          </w:tcPr>
          <w:p>
            <w:pPr>
              <w:widowControl/>
              <w:textAlignment w:val="center"/>
              <w:rPr>
                <w:color w:val="000000"/>
                <w:sz w:val="20"/>
                <w:szCs w:val="20"/>
                <w:highlight w:val="none"/>
              </w:rPr>
            </w:pPr>
            <w:r>
              <w:rPr>
                <w:rStyle w:val="14"/>
                <w:rFonts w:hint="default"/>
                <w:sz w:val="20"/>
                <w:szCs w:val="20"/>
                <w:highlight w:val="none"/>
              </w:rPr>
              <w:t>①</w:t>
            </w:r>
            <w:r>
              <w:rPr>
                <w:rStyle w:val="14"/>
                <w:rFonts w:hint="default" w:ascii="Times New Roman" w:hAnsi="Times New Roman"/>
                <w:sz w:val="20"/>
                <w:szCs w:val="20"/>
                <w:highlight w:val="none"/>
              </w:rPr>
              <w:t>、</w:t>
            </w:r>
            <w:r>
              <w:rPr>
                <w:rStyle w:val="14"/>
                <w:rFonts w:hint="default"/>
                <w:sz w:val="20"/>
                <w:szCs w:val="20"/>
                <w:highlight w:val="none"/>
              </w:rPr>
              <w:t>②</w:t>
            </w:r>
            <w:r>
              <w:rPr>
                <w:rStyle w:val="14"/>
                <w:rFonts w:hint="default" w:ascii="Times New Roman" w:hAnsi="Times New Roman"/>
                <w:sz w:val="20"/>
                <w:szCs w:val="20"/>
                <w:highlight w:val="none"/>
              </w:rPr>
              <w:t>各计</w:t>
            </w:r>
            <w:r>
              <w:rPr>
                <w:rStyle w:val="15"/>
                <w:sz w:val="20"/>
                <w:szCs w:val="20"/>
                <w:highlight w:val="none"/>
              </w:rPr>
              <w:t>1</w:t>
            </w:r>
            <w:r>
              <w:rPr>
                <w:rStyle w:val="14"/>
                <w:rFonts w:hint="default" w:ascii="Times New Roman" w:hAnsi="Times New Roman"/>
                <w:sz w:val="20"/>
                <w:szCs w:val="20"/>
                <w:highlight w:val="none"/>
              </w:rPr>
              <w:t>分，否则，酌情扣分；</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trPr>
        <w:tc>
          <w:tcPr>
            <w:tcW w:w="868" w:type="dxa"/>
            <w:vMerge w:val="continue"/>
            <w:tcMar>
              <w:top w:w="15" w:type="dxa"/>
              <w:left w:w="15" w:type="dxa"/>
              <w:right w:w="15" w:type="dxa"/>
            </w:tcMar>
            <w:vAlign w:val="center"/>
          </w:tcPr>
          <w:p>
            <w:pPr>
              <w:jc w:val="center"/>
              <w:rPr>
                <w:rStyle w:val="14"/>
                <w:rFonts w:hint="default" w:ascii="Times New Roman" w:hAnsi="Times New Roman"/>
                <w:sz w:val="20"/>
                <w:szCs w:val="20"/>
                <w:highlight w:val="none"/>
              </w:rPr>
            </w:pPr>
          </w:p>
        </w:tc>
        <w:tc>
          <w:tcPr>
            <w:tcW w:w="737" w:type="dxa"/>
            <w:vMerge w:val="continue"/>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83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情况</w:t>
            </w:r>
          </w:p>
        </w:tc>
        <w:tc>
          <w:tcPr>
            <w:tcW w:w="5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4</w:t>
            </w:r>
          </w:p>
        </w:tc>
        <w:tc>
          <w:tcPr>
            <w:tcW w:w="280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①是否按要求开展绩效自评工作并对所属单位自评进行了复核；②绩效自评报告报送及时；③绩效自评报告的综合评审等级；④绩效自评报告是否完整，数据是否全面、真实、准确，绩效指标是否细化量化和科学合理，绩效自评反映的问题是否具体，意见是否可行，自评发现的问题是否整改；</w:t>
            </w:r>
          </w:p>
        </w:tc>
        <w:tc>
          <w:tcPr>
            <w:tcW w:w="333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根据</w:t>
            </w:r>
            <w:r>
              <w:rPr>
                <w:rFonts w:hint="eastAsia" w:ascii="宋体" w:hAnsi="宋体" w:cs="宋体"/>
                <w:i w:val="0"/>
                <w:color w:val="000000"/>
                <w:kern w:val="0"/>
                <w:sz w:val="20"/>
                <w:szCs w:val="20"/>
                <w:highlight w:val="none"/>
                <w:u w:val="none"/>
                <w:lang w:val="en-US" w:eastAsia="zh-CN" w:bidi="ar"/>
              </w:rPr>
              <w:t>县</w:t>
            </w:r>
            <w:r>
              <w:rPr>
                <w:rFonts w:hint="eastAsia" w:ascii="宋体" w:hAnsi="宋体" w:eastAsia="宋体" w:cs="宋体"/>
                <w:i w:val="0"/>
                <w:color w:val="000000"/>
                <w:kern w:val="0"/>
                <w:sz w:val="20"/>
                <w:szCs w:val="20"/>
                <w:highlight w:val="none"/>
                <w:u w:val="none"/>
                <w:lang w:val="en-US" w:eastAsia="zh-CN" w:bidi="ar"/>
              </w:rPr>
              <w:t>财政局对预算单位2020年自评考核结果，评审为优，计4分；评审为良，计3分；评审为中，计2分；评审为低，计1分；评审为差，计0分；</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5" w:hRule="atLeast"/>
        </w:trPr>
        <w:tc>
          <w:tcPr>
            <w:tcW w:w="868" w:type="dxa"/>
            <w:vMerge w:val="continue"/>
            <w:tcMar>
              <w:top w:w="15" w:type="dxa"/>
              <w:left w:w="15" w:type="dxa"/>
              <w:right w:w="15" w:type="dxa"/>
            </w:tcMar>
            <w:vAlign w:val="center"/>
          </w:tcPr>
          <w:p>
            <w:pPr>
              <w:jc w:val="center"/>
              <w:rPr>
                <w:rStyle w:val="14"/>
                <w:rFonts w:hint="default" w:ascii="Times New Roman" w:hAnsi="Times New Roman"/>
                <w:sz w:val="20"/>
                <w:szCs w:val="20"/>
                <w:highlight w:val="none"/>
              </w:rPr>
            </w:pPr>
          </w:p>
        </w:tc>
        <w:tc>
          <w:tcPr>
            <w:tcW w:w="737" w:type="dxa"/>
            <w:vMerge w:val="continue"/>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83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评价</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整改</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情况</w:t>
            </w:r>
          </w:p>
        </w:tc>
        <w:tc>
          <w:tcPr>
            <w:tcW w:w="5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5</w:t>
            </w:r>
          </w:p>
        </w:tc>
        <w:tc>
          <w:tcPr>
            <w:tcW w:w="280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对上年度财政重点评价中存在的问题是否进行整改。</w:t>
            </w:r>
          </w:p>
        </w:tc>
        <w:tc>
          <w:tcPr>
            <w:tcW w:w="333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2020年重点评价问题全部整改，计5分；2020年重点评价问题部分整改，计3分；2020年重点评价问题未整改且无整改情况说明的不计分。</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2" w:hRule="atLeast"/>
        </w:trPr>
        <w:tc>
          <w:tcPr>
            <w:tcW w:w="868" w:type="dxa"/>
            <w:vMerge w:val="continue"/>
            <w:tcMar>
              <w:top w:w="15" w:type="dxa"/>
              <w:left w:w="15" w:type="dxa"/>
              <w:right w:w="15" w:type="dxa"/>
            </w:tcMar>
            <w:vAlign w:val="center"/>
          </w:tcPr>
          <w:p>
            <w:pPr>
              <w:widowControl/>
              <w:jc w:val="center"/>
              <w:textAlignment w:val="center"/>
              <w:rPr>
                <w:color w:val="000000"/>
                <w:sz w:val="20"/>
                <w:szCs w:val="20"/>
                <w:highlight w:val="none"/>
              </w:rPr>
            </w:pPr>
          </w:p>
        </w:tc>
        <w:tc>
          <w:tcPr>
            <w:tcW w:w="737" w:type="dxa"/>
            <w:vMerge w:val="restart"/>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资产</w:t>
            </w:r>
          </w:p>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管理</w:t>
            </w:r>
          </w:p>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w:t>
            </w:r>
            <w:r>
              <w:rPr>
                <w:rStyle w:val="15"/>
                <w:rFonts w:hint="eastAsia"/>
                <w:sz w:val="20"/>
                <w:szCs w:val="20"/>
                <w:highlight w:val="none"/>
              </w:rPr>
              <w:t>9</w:t>
            </w:r>
            <w:r>
              <w:rPr>
                <w:rStyle w:val="14"/>
                <w:rFonts w:hint="default" w:ascii="Times New Roman" w:hAnsi="Times New Roman"/>
                <w:sz w:val="20"/>
                <w:szCs w:val="20"/>
                <w:highlight w:val="none"/>
              </w:rPr>
              <w:t>分）</w:t>
            </w: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p>
            <w:pPr>
              <w:widowControl/>
              <w:jc w:val="center"/>
              <w:textAlignment w:val="center"/>
              <w:rPr>
                <w:rStyle w:val="14"/>
                <w:rFonts w:hint="default" w:ascii="Times New Roman" w:hAnsi="Times New Roman"/>
                <w:sz w:val="20"/>
                <w:szCs w:val="20"/>
                <w:highlight w:val="none"/>
              </w:rPr>
            </w:pP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资产</w:t>
            </w:r>
          </w:p>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管理</w:t>
            </w:r>
          </w:p>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制度</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健全性</w:t>
            </w:r>
          </w:p>
        </w:tc>
        <w:tc>
          <w:tcPr>
            <w:tcW w:w="568" w:type="dxa"/>
            <w:tcMar>
              <w:top w:w="15" w:type="dxa"/>
              <w:left w:w="15" w:type="dxa"/>
              <w:right w:w="15" w:type="dxa"/>
            </w:tcMar>
            <w:vAlign w:val="center"/>
          </w:tcPr>
          <w:p>
            <w:pPr>
              <w:widowControl/>
              <w:jc w:val="center"/>
              <w:textAlignment w:val="center"/>
              <w:rPr>
                <w:color w:val="000000"/>
                <w:sz w:val="20"/>
                <w:szCs w:val="20"/>
                <w:highlight w:val="none"/>
              </w:rPr>
            </w:pPr>
            <w:r>
              <w:rPr>
                <w:rFonts w:hint="eastAsia"/>
                <w:color w:val="000000"/>
                <w:kern w:val="0"/>
                <w:sz w:val="20"/>
                <w:szCs w:val="20"/>
                <w:highlight w:val="none"/>
              </w:rPr>
              <w:t>4</w:t>
            </w:r>
          </w:p>
        </w:tc>
        <w:tc>
          <w:tcPr>
            <w:tcW w:w="2808" w:type="dxa"/>
            <w:tcMar>
              <w:top w:w="15" w:type="dxa"/>
              <w:left w:w="15" w:type="dxa"/>
              <w:right w:w="15" w:type="dxa"/>
            </w:tcMar>
            <w:vAlign w:val="center"/>
          </w:tcPr>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是否已制定合法、合规、完整的资产管理制度；</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相关资产管理制度是否得到有效执行；</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③</w:t>
            </w:r>
            <w:r>
              <w:rPr>
                <w:rStyle w:val="14"/>
                <w:rFonts w:hint="default" w:ascii="Times New Roman" w:hAnsi="Times New Roman"/>
                <w:sz w:val="20"/>
                <w:szCs w:val="20"/>
                <w:highlight w:val="none"/>
              </w:rPr>
              <w:t>资产配置是否编制年度预算；</w:t>
            </w:r>
          </w:p>
          <w:p>
            <w:pPr>
              <w:widowControl/>
              <w:jc w:val="left"/>
              <w:textAlignment w:val="center"/>
              <w:rPr>
                <w:color w:val="000000"/>
                <w:sz w:val="20"/>
                <w:szCs w:val="20"/>
                <w:highlight w:val="none"/>
              </w:rPr>
            </w:pPr>
            <w:r>
              <w:rPr>
                <w:rStyle w:val="14"/>
                <w:rFonts w:hint="default"/>
                <w:sz w:val="20"/>
                <w:szCs w:val="20"/>
                <w:highlight w:val="none"/>
              </w:rPr>
              <w:t>④</w:t>
            </w:r>
            <w:r>
              <w:rPr>
                <w:rStyle w:val="14"/>
                <w:rFonts w:hint="default" w:ascii="Times New Roman" w:hAnsi="Times New Roman"/>
                <w:sz w:val="20"/>
                <w:szCs w:val="20"/>
                <w:highlight w:val="none"/>
              </w:rPr>
              <w:t>资产配置预算实际执行情况。</w:t>
            </w:r>
          </w:p>
        </w:tc>
        <w:tc>
          <w:tcPr>
            <w:tcW w:w="3338" w:type="dxa"/>
            <w:tcMar>
              <w:top w:w="15" w:type="dxa"/>
              <w:left w:w="15" w:type="dxa"/>
              <w:right w:w="15" w:type="dxa"/>
            </w:tcMar>
            <w:vAlign w:val="center"/>
          </w:tcPr>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已制定合法、合规、完整的资产管理制度，计</w:t>
            </w:r>
            <w:r>
              <w:rPr>
                <w:rStyle w:val="15"/>
                <w:sz w:val="20"/>
                <w:szCs w:val="20"/>
                <w:highlight w:val="none"/>
              </w:rPr>
              <w:t>0.5</w:t>
            </w:r>
            <w:r>
              <w:rPr>
                <w:rStyle w:val="14"/>
                <w:rFonts w:hint="default" w:ascii="Times New Roman" w:hAnsi="Times New Roman"/>
                <w:sz w:val="20"/>
                <w:szCs w:val="20"/>
                <w:highlight w:val="none"/>
              </w:rPr>
              <w:t>分，否则不得分；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相关资产管理制度得到有效执行，计</w:t>
            </w:r>
            <w:r>
              <w:rPr>
                <w:rStyle w:val="15"/>
                <w:sz w:val="20"/>
                <w:szCs w:val="20"/>
                <w:highlight w:val="none"/>
              </w:rPr>
              <w:t>0.5</w:t>
            </w:r>
            <w:r>
              <w:rPr>
                <w:rStyle w:val="14"/>
                <w:rFonts w:hint="default" w:ascii="Times New Roman" w:hAnsi="Times New Roman"/>
                <w:sz w:val="20"/>
                <w:szCs w:val="20"/>
                <w:highlight w:val="none"/>
              </w:rPr>
              <w:t>分，否则，不得分；</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③</w:t>
            </w:r>
            <w:r>
              <w:rPr>
                <w:rStyle w:val="14"/>
                <w:rFonts w:hint="default" w:ascii="Times New Roman" w:hAnsi="Times New Roman"/>
                <w:sz w:val="20"/>
                <w:szCs w:val="20"/>
                <w:highlight w:val="none"/>
              </w:rPr>
              <w:t>资产管理编制年度预算，计</w:t>
            </w:r>
            <w:r>
              <w:rPr>
                <w:rStyle w:val="15"/>
                <w:sz w:val="20"/>
                <w:szCs w:val="20"/>
                <w:highlight w:val="none"/>
              </w:rPr>
              <w:t>0.5</w:t>
            </w:r>
            <w:r>
              <w:rPr>
                <w:rStyle w:val="14"/>
                <w:rFonts w:hint="default" w:ascii="Times New Roman" w:hAnsi="Times New Roman"/>
                <w:sz w:val="20"/>
                <w:szCs w:val="20"/>
                <w:highlight w:val="none"/>
              </w:rPr>
              <w:t>分，未编制不得分；</w:t>
            </w:r>
          </w:p>
          <w:p>
            <w:pPr>
              <w:widowControl/>
              <w:textAlignment w:val="center"/>
              <w:rPr>
                <w:color w:val="000000"/>
                <w:sz w:val="20"/>
                <w:szCs w:val="20"/>
                <w:highlight w:val="none"/>
              </w:rPr>
            </w:pPr>
            <w:r>
              <w:rPr>
                <w:rStyle w:val="14"/>
                <w:rFonts w:hint="default"/>
                <w:sz w:val="20"/>
                <w:szCs w:val="20"/>
                <w:highlight w:val="none"/>
              </w:rPr>
              <w:t>④</w:t>
            </w:r>
            <w:r>
              <w:rPr>
                <w:rStyle w:val="14"/>
                <w:rFonts w:hint="default" w:ascii="Times New Roman" w:hAnsi="Times New Roman"/>
                <w:sz w:val="20"/>
                <w:szCs w:val="20"/>
                <w:highlight w:val="none"/>
              </w:rPr>
              <w:t>资产配置预算实际执行情况未超年度预算（按程序审批除外），计</w:t>
            </w:r>
            <w:r>
              <w:rPr>
                <w:rStyle w:val="15"/>
                <w:sz w:val="20"/>
                <w:szCs w:val="20"/>
                <w:highlight w:val="none"/>
              </w:rPr>
              <w:t>0.5</w:t>
            </w:r>
            <w:r>
              <w:rPr>
                <w:rStyle w:val="14"/>
                <w:rFonts w:hint="default" w:ascii="Times New Roman" w:hAnsi="Times New Roman"/>
                <w:sz w:val="20"/>
                <w:szCs w:val="20"/>
                <w:highlight w:val="none"/>
              </w:rPr>
              <w:t>分，否则，不得分。</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9"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vMerge w:val="continue"/>
            <w:tcMar>
              <w:top w:w="15" w:type="dxa"/>
              <w:left w:w="15" w:type="dxa"/>
              <w:right w:w="15" w:type="dxa"/>
            </w:tcMar>
            <w:vAlign w:val="center"/>
          </w:tcPr>
          <w:p>
            <w:pPr>
              <w:jc w:val="center"/>
              <w:rPr>
                <w:color w:val="000000"/>
                <w:sz w:val="20"/>
                <w:szCs w:val="20"/>
                <w:highlight w:val="none"/>
              </w:rPr>
            </w:pPr>
          </w:p>
        </w:tc>
        <w:tc>
          <w:tcPr>
            <w:tcW w:w="833"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资产管理</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安全性</w:t>
            </w:r>
          </w:p>
        </w:tc>
        <w:tc>
          <w:tcPr>
            <w:tcW w:w="568" w:type="dxa"/>
            <w:tcMar>
              <w:top w:w="15" w:type="dxa"/>
              <w:left w:w="15" w:type="dxa"/>
              <w:right w:w="15" w:type="dxa"/>
            </w:tcMar>
            <w:vAlign w:val="center"/>
          </w:tcPr>
          <w:p>
            <w:pPr>
              <w:widowControl/>
              <w:jc w:val="center"/>
              <w:textAlignment w:val="center"/>
              <w:rPr>
                <w:color w:val="000000"/>
                <w:sz w:val="20"/>
                <w:szCs w:val="20"/>
                <w:highlight w:val="none"/>
              </w:rPr>
            </w:pPr>
            <w:r>
              <w:rPr>
                <w:rFonts w:hint="eastAsia"/>
                <w:color w:val="000000"/>
                <w:kern w:val="0"/>
                <w:sz w:val="20"/>
                <w:szCs w:val="20"/>
                <w:highlight w:val="none"/>
              </w:rPr>
              <w:t>3</w:t>
            </w:r>
          </w:p>
        </w:tc>
        <w:tc>
          <w:tcPr>
            <w:tcW w:w="2808" w:type="dxa"/>
            <w:tcMar>
              <w:top w:w="15" w:type="dxa"/>
              <w:left w:w="15" w:type="dxa"/>
              <w:right w:w="15" w:type="dxa"/>
            </w:tcMar>
            <w:vAlign w:val="center"/>
          </w:tcPr>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资产保存是否完整并有台账；</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资产配置是否合理；</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③</w:t>
            </w:r>
            <w:r>
              <w:rPr>
                <w:rStyle w:val="14"/>
                <w:rFonts w:hint="default" w:ascii="Times New Roman" w:hAnsi="Times New Roman"/>
                <w:sz w:val="20"/>
                <w:szCs w:val="20"/>
                <w:highlight w:val="none"/>
              </w:rPr>
              <w:t>资产处置是否规范；</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④</w:t>
            </w:r>
            <w:r>
              <w:rPr>
                <w:rStyle w:val="14"/>
                <w:rFonts w:hint="default" w:ascii="Times New Roman" w:hAnsi="Times New Roman"/>
                <w:sz w:val="20"/>
                <w:szCs w:val="20"/>
                <w:highlight w:val="none"/>
              </w:rPr>
              <w:t>资产账务管理是否合规，是否</w:t>
            </w:r>
            <w:r>
              <w:rPr>
                <w:rStyle w:val="14"/>
                <w:rFonts w:hint="eastAsia" w:ascii="Times New Roman" w:hAnsi="Times New Roman" w:eastAsia="宋体"/>
                <w:sz w:val="20"/>
                <w:szCs w:val="20"/>
                <w:highlight w:val="none"/>
                <w:lang w:eastAsia="zh-CN"/>
              </w:rPr>
              <w:t>账实相符</w:t>
            </w:r>
            <w:r>
              <w:rPr>
                <w:rStyle w:val="14"/>
                <w:rFonts w:hint="default" w:ascii="Times New Roman" w:hAnsi="Times New Roman"/>
                <w:sz w:val="20"/>
                <w:szCs w:val="20"/>
                <w:highlight w:val="none"/>
              </w:rPr>
              <w:t>；</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⑤</w:t>
            </w:r>
            <w:r>
              <w:rPr>
                <w:rStyle w:val="14"/>
                <w:rFonts w:hint="default" w:ascii="Times New Roman" w:hAnsi="Times New Roman"/>
                <w:sz w:val="20"/>
                <w:szCs w:val="20"/>
                <w:highlight w:val="none"/>
              </w:rPr>
              <w:t>资产是否有偿使用或处置收入及时足额上缴；</w:t>
            </w:r>
          </w:p>
          <w:p>
            <w:pPr>
              <w:widowControl/>
              <w:jc w:val="left"/>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⑥</w:t>
            </w:r>
            <w:r>
              <w:rPr>
                <w:rStyle w:val="14"/>
                <w:rFonts w:hint="default" w:ascii="Times New Roman" w:hAnsi="Times New Roman"/>
                <w:sz w:val="20"/>
                <w:szCs w:val="20"/>
                <w:highlight w:val="none"/>
              </w:rPr>
              <w:t>相关资产购置是否履行政府采购手续；</w:t>
            </w:r>
          </w:p>
          <w:p>
            <w:pPr>
              <w:widowControl/>
              <w:jc w:val="left"/>
              <w:textAlignment w:val="center"/>
              <w:rPr>
                <w:color w:val="000000"/>
                <w:sz w:val="20"/>
                <w:szCs w:val="20"/>
                <w:highlight w:val="none"/>
              </w:rPr>
            </w:pPr>
            <w:r>
              <w:rPr>
                <w:rStyle w:val="14"/>
                <w:rFonts w:hint="default"/>
                <w:sz w:val="20"/>
                <w:szCs w:val="20"/>
                <w:highlight w:val="none"/>
              </w:rPr>
              <w:t>⑦</w:t>
            </w:r>
            <w:r>
              <w:rPr>
                <w:rStyle w:val="14"/>
                <w:rFonts w:hint="default" w:ascii="Times New Roman" w:hAnsi="Times New Roman"/>
                <w:sz w:val="20"/>
                <w:szCs w:val="20"/>
                <w:highlight w:val="none"/>
              </w:rPr>
              <w:t>资产是否定期进行盘点并有记录。</w:t>
            </w:r>
          </w:p>
        </w:tc>
        <w:tc>
          <w:tcPr>
            <w:tcW w:w="3338" w:type="dxa"/>
            <w:tcMar>
              <w:top w:w="15" w:type="dxa"/>
              <w:left w:w="15" w:type="dxa"/>
              <w:right w:w="15" w:type="dxa"/>
            </w:tcMar>
            <w:vAlign w:val="center"/>
          </w:tcPr>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①</w:t>
            </w:r>
            <w:r>
              <w:rPr>
                <w:rStyle w:val="14"/>
                <w:rFonts w:hint="default" w:ascii="Times New Roman" w:hAnsi="Times New Roman"/>
                <w:sz w:val="20"/>
                <w:szCs w:val="20"/>
                <w:highlight w:val="none"/>
              </w:rPr>
              <w:t>资产配置合理符合标准、保管完整，账务管理规范，定期盘点并有台账，账实相符的，计</w:t>
            </w:r>
            <w:r>
              <w:rPr>
                <w:rStyle w:val="15"/>
                <w:sz w:val="20"/>
                <w:szCs w:val="20"/>
                <w:highlight w:val="none"/>
              </w:rPr>
              <w:t>0.5</w:t>
            </w:r>
            <w:r>
              <w:rPr>
                <w:rStyle w:val="14"/>
                <w:rFonts w:hint="default" w:ascii="Times New Roman" w:hAnsi="Times New Roman"/>
                <w:sz w:val="20"/>
                <w:szCs w:val="20"/>
                <w:highlight w:val="none"/>
              </w:rPr>
              <w:t>分，发现一例不符，扣</w:t>
            </w:r>
            <w:r>
              <w:rPr>
                <w:rStyle w:val="15"/>
                <w:sz w:val="20"/>
                <w:szCs w:val="20"/>
                <w:highlight w:val="none"/>
              </w:rPr>
              <w:t>0.1</w:t>
            </w:r>
            <w:r>
              <w:rPr>
                <w:rStyle w:val="14"/>
                <w:rFonts w:hint="default" w:ascii="Times New Roman" w:hAnsi="Times New Roman"/>
                <w:sz w:val="20"/>
                <w:szCs w:val="20"/>
                <w:highlight w:val="none"/>
              </w:rPr>
              <w:t>分，扣完为止；</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②</w:t>
            </w:r>
            <w:r>
              <w:rPr>
                <w:rStyle w:val="14"/>
                <w:rFonts w:hint="default" w:ascii="Times New Roman" w:hAnsi="Times New Roman"/>
                <w:sz w:val="20"/>
                <w:szCs w:val="20"/>
                <w:highlight w:val="none"/>
              </w:rPr>
              <w:t>资产处置规范，计0.5分，发现一例不符，扣0.1分，扣完为止；</w:t>
            </w:r>
          </w:p>
          <w:p>
            <w:pPr>
              <w:widowControl/>
              <w:textAlignment w:val="center"/>
              <w:rPr>
                <w:rStyle w:val="14"/>
                <w:rFonts w:hint="eastAsia" w:ascii="Times New Roman" w:hAnsi="Times New Roman" w:eastAsia="宋体"/>
                <w:sz w:val="20"/>
                <w:szCs w:val="20"/>
                <w:highlight w:val="none"/>
                <w:lang w:eastAsia="zh-CN"/>
              </w:rPr>
            </w:pPr>
            <w:r>
              <w:rPr>
                <w:rStyle w:val="14"/>
                <w:rFonts w:hint="default"/>
                <w:sz w:val="20"/>
                <w:szCs w:val="20"/>
                <w:highlight w:val="none"/>
              </w:rPr>
              <w:t>③</w:t>
            </w:r>
            <w:r>
              <w:rPr>
                <w:rStyle w:val="14"/>
                <w:rFonts w:hint="default" w:ascii="Times New Roman" w:hAnsi="Times New Roman"/>
                <w:sz w:val="20"/>
                <w:szCs w:val="20"/>
                <w:highlight w:val="none"/>
              </w:rPr>
              <w:t>资产有偿使用或处置收入及时足额上缴，计0.5分，发现未上缴，本项不得分；</w:t>
            </w:r>
          </w:p>
          <w:p>
            <w:pPr>
              <w:widowControl/>
              <w:textAlignment w:val="center"/>
              <w:rPr>
                <w:color w:val="000000"/>
                <w:sz w:val="20"/>
                <w:szCs w:val="20"/>
                <w:highlight w:val="none"/>
              </w:rPr>
            </w:pPr>
            <w:r>
              <w:rPr>
                <w:rStyle w:val="14"/>
                <w:rFonts w:hint="default"/>
                <w:sz w:val="20"/>
                <w:szCs w:val="20"/>
                <w:highlight w:val="none"/>
              </w:rPr>
              <w:t>④</w:t>
            </w:r>
            <w:r>
              <w:rPr>
                <w:rStyle w:val="14"/>
                <w:rFonts w:hint="default" w:ascii="Times New Roman" w:hAnsi="Times New Roman"/>
                <w:sz w:val="20"/>
                <w:szCs w:val="20"/>
                <w:highlight w:val="none"/>
              </w:rPr>
              <w:t>资产购置履行政府采购手续，计0.5分，发现一例不符，扣0.1分，扣完为止。</w:t>
            </w:r>
          </w:p>
        </w:tc>
        <w:tc>
          <w:tcPr>
            <w:tcW w:w="778"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val="en-US" w:eastAsia="zh-CN"/>
              </w:rPr>
            </w:pPr>
            <w:r>
              <w:rPr>
                <w:rStyle w:val="14"/>
                <w:rFonts w:hint="eastAsia" w:ascii="Times New Roman" w:hAnsi="Times New Roman" w:eastAsia="宋体"/>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1"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vMerge w:val="continue"/>
            <w:tcMar>
              <w:top w:w="15" w:type="dxa"/>
              <w:left w:w="15" w:type="dxa"/>
              <w:right w:w="15" w:type="dxa"/>
            </w:tcMar>
            <w:vAlign w:val="center"/>
          </w:tcPr>
          <w:p>
            <w:pPr>
              <w:jc w:val="center"/>
              <w:rPr>
                <w:color w:val="000000"/>
                <w:sz w:val="20"/>
                <w:szCs w:val="20"/>
                <w:highlight w:val="none"/>
              </w:rPr>
            </w:pPr>
          </w:p>
        </w:tc>
        <w:tc>
          <w:tcPr>
            <w:tcW w:w="833" w:type="dxa"/>
            <w:tcMar>
              <w:top w:w="15" w:type="dxa"/>
              <w:left w:w="15" w:type="dxa"/>
              <w:right w:w="15" w:type="dxa"/>
            </w:tcMar>
            <w:vAlign w:val="center"/>
          </w:tcPr>
          <w:p>
            <w:pPr>
              <w:widowControl/>
              <w:jc w:val="center"/>
              <w:textAlignment w:val="center"/>
              <w:rPr>
                <w:rStyle w:val="14"/>
                <w:rFonts w:hint="eastAsia" w:ascii="Times New Roman" w:hAnsi="Times New Roman" w:eastAsia="宋体"/>
                <w:sz w:val="20"/>
                <w:szCs w:val="20"/>
                <w:highlight w:val="none"/>
                <w:lang w:eastAsia="zh-CN"/>
              </w:rPr>
            </w:pPr>
            <w:r>
              <w:rPr>
                <w:rStyle w:val="14"/>
                <w:rFonts w:hint="default" w:ascii="Times New Roman" w:hAnsi="Times New Roman"/>
                <w:sz w:val="20"/>
                <w:szCs w:val="20"/>
                <w:highlight w:val="none"/>
              </w:rPr>
              <w:t>固定资产</w:t>
            </w:r>
          </w:p>
          <w:p>
            <w:pPr>
              <w:widowControl/>
              <w:jc w:val="center"/>
              <w:textAlignment w:val="center"/>
              <w:rPr>
                <w:color w:val="000000"/>
                <w:sz w:val="20"/>
                <w:szCs w:val="20"/>
                <w:highlight w:val="none"/>
              </w:rPr>
            </w:pPr>
            <w:r>
              <w:rPr>
                <w:rStyle w:val="14"/>
                <w:rFonts w:hint="default" w:ascii="Times New Roman" w:hAnsi="Times New Roman"/>
                <w:sz w:val="20"/>
                <w:szCs w:val="20"/>
                <w:highlight w:val="none"/>
              </w:rPr>
              <w:t>保管和使用情况</w:t>
            </w:r>
          </w:p>
        </w:tc>
        <w:tc>
          <w:tcPr>
            <w:tcW w:w="568" w:type="dxa"/>
            <w:tcMar>
              <w:top w:w="15" w:type="dxa"/>
              <w:left w:w="15" w:type="dxa"/>
              <w:right w:w="15" w:type="dxa"/>
            </w:tcMar>
            <w:vAlign w:val="center"/>
          </w:tcPr>
          <w:p>
            <w:pPr>
              <w:widowControl/>
              <w:jc w:val="center"/>
              <w:textAlignment w:val="center"/>
              <w:rPr>
                <w:color w:val="000000"/>
                <w:sz w:val="20"/>
                <w:szCs w:val="20"/>
                <w:highlight w:val="none"/>
              </w:rPr>
            </w:pPr>
            <w:r>
              <w:rPr>
                <w:rFonts w:hint="eastAsia"/>
                <w:color w:val="000000"/>
                <w:kern w:val="0"/>
                <w:sz w:val="20"/>
                <w:szCs w:val="20"/>
                <w:highlight w:val="none"/>
              </w:rPr>
              <w:t>2</w:t>
            </w:r>
          </w:p>
        </w:tc>
        <w:tc>
          <w:tcPr>
            <w:tcW w:w="2808" w:type="dxa"/>
            <w:tcMar>
              <w:top w:w="15" w:type="dxa"/>
              <w:left w:w="15" w:type="dxa"/>
              <w:right w:w="15" w:type="dxa"/>
            </w:tcMar>
            <w:vAlign w:val="center"/>
          </w:tcPr>
          <w:p>
            <w:pPr>
              <w:widowControl/>
              <w:jc w:val="left"/>
              <w:textAlignment w:val="center"/>
              <w:rPr>
                <w:rFonts w:hint="eastAsia" w:eastAsiaTheme="minorEastAsia"/>
                <w:color w:val="000000"/>
                <w:kern w:val="0"/>
                <w:sz w:val="20"/>
                <w:szCs w:val="20"/>
                <w:highlight w:val="none"/>
                <w:lang w:eastAsia="zh-CN"/>
              </w:rPr>
            </w:pPr>
            <w:r>
              <w:rPr>
                <w:color w:val="000000"/>
                <w:kern w:val="0"/>
                <w:sz w:val="20"/>
                <w:szCs w:val="20"/>
                <w:highlight w:val="none"/>
              </w:rPr>
              <w:t>①是否建立固定资产台账，实行编码管理；</w:t>
            </w:r>
          </w:p>
          <w:p>
            <w:pPr>
              <w:widowControl/>
              <w:jc w:val="left"/>
              <w:textAlignment w:val="center"/>
              <w:rPr>
                <w:color w:val="000000"/>
                <w:sz w:val="20"/>
                <w:szCs w:val="20"/>
                <w:highlight w:val="none"/>
              </w:rPr>
            </w:pPr>
            <w:r>
              <w:rPr>
                <w:color w:val="000000"/>
                <w:kern w:val="0"/>
                <w:sz w:val="20"/>
                <w:szCs w:val="20"/>
                <w:highlight w:val="none"/>
              </w:rPr>
              <w:t>②固定资产增减变化是否建立审批程序</w:t>
            </w:r>
            <w:r>
              <w:rPr>
                <w:rStyle w:val="14"/>
                <w:rFonts w:hint="default" w:ascii="Times New Roman" w:hAnsi="Times New Roman"/>
                <w:sz w:val="20"/>
                <w:szCs w:val="20"/>
                <w:highlight w:val="none"/>
              </w:rPr>
              <w:t>。</w:t>
            </w:r>
          </w:p>
        </w:tc>
        <w:tc>
          <w:tcPr>
            <w:tcW w:w="3338" w:type="dxa"/>
            <w:tcMar>
              <w:top w:w="15" w:type="dxa"/>
              <w:left w:w="15" w:type="dxa"/>
              <w:right w:w="15" w:type="dxa"/>
            </w:tcMar>
            <w:vAlign w:val="center"/>
          </w:tcPr>
          <w:p>
            <w:pPr>
              <w:widowControl/>
              <w:textAlignment w:val="center"/>
              <w:rPr>
                <w:color w:val="000000"/>
                <w:sz w:val="20"/>
                <w:szCs w:val="20"/>
                <w:highlight w:val="none"/>
              </w:rPr>
            </w:pPr>
            <w:r>
              <w:rPr>
                <w:color w:val="000000"/>
                <w:kern w:val="0"/>
                <w:sz w:val="20"/>
                <w:szCs w:val="20"/>
                <w:highlight w:val="none"/>
              </w:rPr>
              <w:t>建了固定资产台账实行编码管理的计</w:t>
            </w:r>
            <w:r>
              <w:rPr>
                <w:rFonts w:hint="eastAsia"/>
                <w:color w:val="000000"/>
                <w:kern w:val="0"/>
                <w:sz w:val="20"/>
                <w:szCs w:val="20"/>
                <w:highlight w:val="none"/>
              </w:rPr>
              <w:t>1</w:t>
            </w:r>
            <w:r>
              <w:rPr>
                <w:color w:val="000000"/>
                <w:kern w:val="0"/>
                <w:sz w:val="20"/>
                <w:szCs w:val="20"/>
                <w:highlight w:val="none"/>
              </w:rPr>
              <w:t>分；建立了固定资产增减变化审批程序的计</w:t>
            </w:r>
            <w:r>
              <w:rPr>
                <w:rFonts w:hint="eastAsia"/>
                <w:color w:val="000000"/>
                <w:kern w:val="0"/>
                <w:sz w:val="20"/>
                <w:szCs w:val="20"/>
                <w:highlight w:val="none"/>
              </w:rPr>
              <w:t>1</w:t>
            </w:r>
            <w:r>
              <w:rPr>
                <w:color w:val="000000"/>
                <w:kern w:val="0"/>
                <w:sz w:val="20"/>
                <w:szCs w:val="20"/>
                <w:highlight w:val="none"/>
              </w:rPr>
              <w:t>分，否则不得分。</w:t>
            </w:r>
          </w:p>
        </w:tc>
        <w:tc>
          <w:tcPr>
            <w:tcW w:w="778" w:type="dxa"/>
            <w:tcMar>
              <w:top w:w="15" w:type="dxa"/>
              <w:left w:w="15" w:type="dxa"/>
              <w:right w:w="15" w:type="dxa"/>
            </w:tcMar>
            <w:vAlign w:val="center"/>
          </w:tcPr>
          <w:p>
            <w:pPr>
              <w:widowControl/>
              <w:jc w:val="center"/>
              <w:textAlignment w:val="center"/>
              <w:rPr>
                <w:rFonts w:hint="eastAsia" w:eastAsiaTheme="minorEastAsia"/>
                <w:color w:val="000000"/>
                <w:kern w:val="0"/>
                <w:sz w:val="20"/>
                <w:szCs w:val="20"/>
                <w:highlight w:val="none"/>
                <w:lang w:val="en-US" w:eastAsia="zh-CN"/>
              </w:rPr>
            </w:pPr>
            <w:r>
              <w:rPr>
                <w:rFonts w:hint="eastAsia"/>
                <w:color w:val="000000"/>
                <w:kern w:val="0"/>
                <w:sz w:val="20"/>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8" w:hRule="atLeast"/>
        </w:trPr>
        <w:tc>
          <w:tcPr>
            <w:tcW w:w="868" w:type="dxa"/>
            <w:vMerge w:val="restart"/>
            <w:tcMar>
              <w:top w:w="15" w:type="dxa"/>
              <w:left w:w="15" w:type="dxa"/>
              <w:right w:w="15" w:type="dxa"/>
            </w:tcMar>
            <w:vAlign w:val="center"/>
          </w:tcPr>
          <w:p>
            <w:pPr>
              <w:jc w:val="center"/>
              <w:rPr>
                <w:color w:val="000000"/>
                <w:sz w:val="20"/>
                <w:szCs w:val="20"/>
                <w:highlight w:val="none"/>
              </w:rPr>
            </w:pPr>
            <w:r>
              <w:rPr>
                <w:color w:val="000000"/>
                <w:sz w:val="20"/>
                <w:szCs w:val="20"/>
                <w:highlight w:val="none"/>
              </w:rPr>
              <w:t>产出</w:t>
            </w:r>
          </w:p>
          <w:p>
            <w:pPr>
              <w:jc w:val="center"/>
              <w:rPr>
                <w:rFonts w:hint="eastAsia"/>
                <w:color w:val="000000"/>
                <w:sz w:val="20"/>
                <w:szCs w:val="20"/>
                <w:highlight w:val="none"/>
              </w:rPr>
            </w:pPr>
            <w:r>
              <w:rPr>
                <w:color w:val="000000"/>
                <w:sz w:val="20"/>
                <w:szCs w:val="20"/>
                <w:highlight w:val="none"/>
              </w:rPr>
              <w:t>（25分）</w:t>
            </w:r>
            <w:r>
              <w:rPr>
                <w:rFonts w:hint="eastAsia"/>
                <w:color w:val="000000"/>
                <w:sz w:val="20"/>
                <w:szCs w:val="20"/>
                <w:highlight w:val="none"/>
              </w:rPr>
              <w:t xml:space="preserve">                                                                       </w:t>
            </w:r>
          </w:p>
          <w:p>
            <w:pPr>
              <w:jc w:val="center"/>
              <w:rPr>
                <w:rFonts w:hint="eastAsia"/>
                <w:color w:val="000000"/>
                <w:sz w:val="20"/>
                <w:szCs w:val="20"/>
                <w:highlight w:val="none"/>
              </w:rPr>
            </w:pPr>
          </w:p>
          <w:p>
            <w:pPr>
              <w:jc w:val="center"/>
              <w:rPr>
                <w:color w:val="000000"/>
                <w:sz w:val="20"/>
                <w:szCs w:val="20"/>
                <w:highlight w:val="none"/>
              </w:rPr>
            </w:pPr>
          </w:p>
        </w:tc>
        <w:tc>
          <w:tcPr>
            <w:tcW w:w="737"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实际</w:t>
            </w:r>
          </w:p>
          <w:p>
            <w:pPr>
              <w:jc w:val="center"/>
              <w:rPr>
                <w:color w:val="000000"/>
                <w:sz w:val="20"/>
                <w:szCs w:val="20"/>
                <w:highlight w:val="none"/>
              </w:rPr>
            </w:pPr>
            <w:r>
              <w:rPr>
                <w:rStyle w:val="14"/>
                <w:rFonts w:hint="default" w:ascii="Times New Roman" w:hAnsi="Times New Roman"/>
                <w:sz w:val="20"/>
                <w:szCs w:val="20"/>
                <w:highlight w:val="none"/>
              </w:rPr>
              <w:t>完成率</w:t>
            </w: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568" w:type="dxa"/>
            <w:tcMar>
              <w:top w:w="15" w:type="dxa"/>
              <w:left w:w="15" w:type="dxa"/>
              <w:right w:w="15" w:type="dxa"/>
            </w:tcMar>
            <w:vAlign w:val="center"/>
          </w:tcPr>
          <w:p>
            <w:pPr>
              <w:widowControl/>
              <w:jc w:val="center"/>
              <w:textAlignment w:val="center"/>
              <w:rPr>
                <w:color w:val="000000"/>
                <w:kern w:val="0"/>
                <w:sz w:val="20"/>
                <w:szCs w:val="20"/>
                <w:highlight w:val="none"/>
              </w:rPr>
            </w:pPr>
          </w:p>
        </w:tc>
        <w:tc>
          <w:tcPr>
            <w:tcW w:w="2808" w:type="dxa"/>
            <w:tcMar>
              <w:top w:w="15" w:type="dxa"/>
              <w:left w:w="15" w:type="dxa"/>
              <w:right w:w="15" w:type="dxa"/>
            </w:tcMar>
            <w:vAlign w:val="center"/>
          </w:tcPr>
          <w:p>
            <w:pPr>
              <w:widowControl/>
              <w:jc w:val="left"/>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部门履行职责而实际完成的工作数与计划工作数的比率，用以反映和考核部门履职工作任务目标的实现程度。</w:t>
            </w:r>
          </w:p>
        </w:tc>
        <w:tc>
          <w:tcPr>
            <w:tcW w:w="3338" w:type="dxa"/>
            <w:tcMar>
              <w:top w:w="15" w:type="dxa"/>
              <w:left w:w="15" w:type="dxa"/>
              <w:right w:w="15" w:type="dxa"/>
            </w:tcMar>
            <w:vAlign w:val="center"/>
          </w:tcPr>
          <w:p>
            <w:pPr>
              <w:widowControl/>
              <w:textAlignment w:val="center"/>
              <w:rPr>
                <w:color w:val="000000"/>
                <w:kern w:val="0"/>
                <w:sz w:val="20"/>
                <w:szCs w:val="20"/>
                <w:highlight w:val="none"/>
              </w:rPr>
            </w:pPr>
            <w:r>
              <w:rPr>
                <w:color w:val="000000"/>
                <w:kern w:val="0"/>
                <w:sz w:val="20"/>
                <w:szCs w:val="20"/>
                <w:highlight w:val="none"/>
              </w:rPr>
              <w:t>实际完成率=（实际完成工作数/计划工作数）*100%。实际完成工作数：一定时期（年度或规划期）内部门实际完成工作任务的数量。</w:t>
            </w:r>
          </w:p>
          <w:p>
            <w:pPr>
              <w:widowControl/>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计划工作数：部门整体绩效目标确定的一定时期（年度或规划期）内预计完成工作任务的数量。</w:t>
            </w:r>
          </w:p>
        </w:tc>
        <w:tc>
          <w:tcPr>
            <w:tcW w:w="778" w:type="dxa"/>
            <w:vMerge w:val="restart"/>
            <w:tcMar>
              <w:top w:w="15" w:type="dxa"/>
              <w:left w:w="15" w:type="dxa"/>
              <w:right w:w="15" w:type="dxa"/>
            </w:tcMar>
            <w:vAlign w:val="center"/>
          </w:tcPr>
          <w:p>
            <w:pPr>
              <w:widowControl/>
              <w:jc w:val="center"/>
              <w:textAlignment w:val="center"/>
              <w:rPr>
                <w:rFonts w:hint="eastAsia" w:eastAsiaTheme="minorEastAsia"/>
                <w:color w:val="000000"/>
                <w:kern w:val="0"/>
                <w:sz w:val="20"/>
                <w:szCs w:val="20"/>
                <w:highlight w:val="none"/>
                <w:lang w:val="en-US" w:eastAsia="zh-CN"/>
              </w:rPr>
            </w:pPr>
            <w:r>
              <w:rPr>
                <w:rFonts w:hint="eastAsia"/>
                <w:color w:val="000000"/>
                <w:kern w:val="0"/>
                <w:sz w:val="20"/>
                <w:szCs w:val="20"/>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完成</w:t>
            </w:r>
          </w:p>
          <w:p>
            <w:pPr>
              <w:widowControl/>
              <w:jc w:val="center"/>
              <w:textAlignment w:val="center"/>
              <w:rPr>
                <w:rFonts w:hint="default" w:ascii="Times New Roman" w:hAnsi="Times New Roman" w:eastAsia="宋体" w:cs="宋体"/>
                <w:color w:val="000000"/>
                <w:kern w:val="2"/>
                <w:sz w:val="20"/>
                <w:szCs w:val="20"/>
                <w:highlight w:val="none"/>
                <w:u w:val="none"/>
                <w:lang w:val="en-US" w:eastAsia="zh-CN" w:bidi="ar-SA"/>
              </w:rPr>
            </w:pPr>
            <w:r>
              <w:rPr>
                <w:rStyle w:val="14"/>
                <w:rFonts w:hint="default" w:ascii="Times New Roman" w:hAnsi="Times New Roman"/>
                <w:sz w:val="20"/>
                <w:szCs w:val="20"/>
                <w:highlight w:val="none"/>
              </w:rPr>
              <w:t>及时性</w:t>
            </w: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568" w:type="dxa"/>
            <w:tcMar>
              <w:top w:w="15" w:type="dxa"/>
              <w:left w:w="15" w:type="dxa"/>
              <w:right w:w="15" w:type="dxa"/>
            </w:tcMar>
            <w:vAlign w:val="center"/>
          </w:tcPr>
          <w:p>
            <w:pPr>
              <w:widowControl/>
              <w:jc w:val="center"/>
              <w:textAlignment w:val="center"/>
              <w:rPr>
                <w:color w:val="000000"/>
                <w:kern w:val="0"/>
                <w:sz w:val="20"/>
                <w:szCs w:val="20"/>
                <w:highlight w:val="none"/>
              </w:rPr>
            </w:pPr>
          </w:p>
        </w:tc>
        <w:tc>
          <w:tcPr>
            <w:tcW w:w="2808" w:type="dxa"/>
            <w:tcMar>
              <w:top w:w="15" w:type="dxa"/>
              <w:left w:w="15" w:type="dxa"/>
              <w:right w:w="15" w:type="dxa"/>
            </w:tcMar>
            <w:vAlign w:val="center"/>
          </w:tcPr>
          <w:p>
            <w:pPr>
              <w:widowControl/>
              <w:jc w:val="left"/>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部门在规定时限内及时完成的实际工作数与计划工作数的比率，用以反映和考核部门履职实效目标的实现程度。</w:t>
            </w:r>
          </w:p>
        </w:tc>
        <w:tc>
          <w:tcPr>
            <w:tcW w:w="3338" w:type="dxa"/>
            <w:tcMar>
              <w:top w:w="15" w:type="dxa"/>
              <w:left w:w="15" w:type="dxa"/>
              <w:right w:w="15" w:type="dxa"/>
            </w:tcMar>
            <w:vAlign w:val="center"/>
          </w:tcPr>
          <w:p>
            <w:pPr>
              <w:widowControl/>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完成及时率=（及时完成实际工作数/计划工作数）*100%。及时完成工作数：部门按照整体绩效目标确定的时限实际完成的工作任务数量。</w:t>
            </w:r>
          </w:p>
        </w:tc>
        <w:tc>
          <w:tcPr>
            <w:tcW w:w="778" w:type="dxa"/>
            <w:vMerge w:val="continue"/>
            <w:tcMar>
              <w:top w:w="15" w:type="dxa"/>
              <w:left w:w="15" w:type="dxa"/>
              <w:right w:w="15" w:type="dxa"/>
            </w:tcMar>
            <w:vAlign w:val="center"/>
          </w:tcPr>
          <w:p>
            <w:pPr>
              <w:widowControl/>
              <w:textAlignment w:val="center"/>
              <w:rPr>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8"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质量</w:t>
            </w:r>
          </w:p>
          <w:p>
            <w:pPr>
              <w:widowControl/>
              <w:jc w:val="center"/>
              <w:textAlignment w:val="center"/>
              <w:rPr>
                <w:rFonts w:hint="default" w:ascii="Times New Roman" w:hAnsi="Times New Roman" w:eastAsia="宋体" w:cs="宋体"/>
                <w:color w:val="000000"/>
                <w:kern w:val="2"/>
                <w:sz w:val="20"/>
                <w:szCs w:val="20"/>
                <w:highlight w:val="none"/>
                <w:u w:val="none"/>
                <w:lang w:val="en-US" w:eastAsia="zh-CN" w:bidi="ar-SA"/>
              </w:rPr>
            </w:pPr>
            <w:r>
              <w:rPr>
                <w:rStyle w:val="14"/>
                <w:rFonts w:hint="default" w:ascii="Times New Roman" w:hAnsi="Times New Roman"/>
                <w:sz w:val="20"/>
                <w:szCs w:val="20"/>
                <w:highlight w:val="none"/>
              </w:rPr>
              <w:t>达标率</w:t>
            </w: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568" w:type="dxa"/>
            <w:tcMar>
              <w:top w:w="15" w:type="dxa"/>
              <w:left w:w="15" w:type="dxa"/>
              <w:right w:w="15" w:type="dxa"/>
            </w:tcMar>
            <w:vAlign w:val="center"/>
          </w:tcPr>
          <w:p>
            <w:pPr>
              <w:widowControl/>
              <w:jc w:val="center"/>
              <w:textAlignment w:val="center"/>
              <w:rPr>
                <w:color w:val="000000"/>
                <w:kern w:val="0"/>
                <w:sz w:val="20"/>
                <w:szCs w:val="20"/>
                <w:highlight w:val="none"/>
              </w:rPr>
            </w:pPr>
          </w:p>
        </w:tc>
        <w:tc>
          <w:tcPr>
            <w:tcW w:w="2808" w:type="dxa"/>
            <w:tcMar>
              <w:top w:w="15" w:type="dxa"/>
              <w:left w:w="15" w:type="dxa"/>
              <w:right w:w="15" w:type="dxa"/>
            </w:tcMar>
            <w:vAlign w:val="center"/>
          </w:tcPr>
          <w:p>
            <w:pPr>
              <w:widowControl/>
              <w:jc w:val="left"/>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达到质量标准（绩效标准值）的实际工作数与计划工作数的比率，用以反映和考核部门履职时效目标的实现程度。</w:t>
            </w:r>
          </w:p>
        </w:tc>
        <w:tc>
          <w:tcPr>
            <w:tcW w:w="3338" w:type="dxa"/>
            <w:tcMar>
              <w:top w:w="15" w:type="dxa"/>
              <w:left w:w="15" w:type="dxa"/>
              <w:right w:w="15" w:type="dxa"/>
            </w:tcMar>
            <w:vAlign w:val="center"/>
          </w:tcPr>
          <w:p>
            <w:pPr>
              <w:widowControl/>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质量达标率=（质量达标实际工作数/计划工作数）*100%。质量达标实际工作数：一定时期（年度或规划期）内部门实际完成工作数中达到部门绩效目标要求（绩效标准值）的工作任务数量。</w:t>
            </w:r>
          </w:p>
        </w:tc>
        <w:tc>
          <w:tcPr>
            <w:tcW w:w="778" w:type="dxa"/>
            <w:vMerge w:val="continue"/>
            <w:tcMar>
              <w:top w:w="15" w:type="dxa"/>
              <w:left w:w="15" w:type="dxa"/>
              <w:right w:w="15" w:type="dxa"/>
            </w:tcMar>
            <w:vAlign w:val="center"/>
          </w:tcPr>
          <w:p>
            <w:pPr>
              <w:widowControl/>
              <w:textAlignment w:val="center"/>
              <w:rPr>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8"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tcMar>
              <w:top w:w="15" w:type="dxa"/>
              <w:left w:w="15" w:type="dxa"/>
              <w:right w:w="15" w:type="dxa"/>
            </w:tcMar>
            <w:vAlign w:val="center"/>
          </w:tcPr>
          <w:p>
            <w:pPr>
              <w:widowControl/>
              <w:jc w:val="center"/>
              <w:textAlignment w:val="center"/>
              <w:rPr>
                <w:rFonts w:hint="default" w:ascii="Times New Roman" w:hAnsi="Times New Roman" w:eastAsia="宋体" w:cs="宋体"/>
                <w:color w:val="000000"/>
                <w:kern w:val="2"/>
                <w:sz w:val="20"/>
                <w:szCs w:val="20"/>
                <w:highlight w:val="none"/>
                <w:u w:val="none"/>
                <w:lang w:val="en-US" w:eastAsia="zh-CN" w:bidi="ar-SA"/>
              </w:rPr>
            </w:pPr>
            <w:r>
              <w:rPr>
                <w:rStyle w:val="14"/>
                <w:rFonts w:hint="default" w:ascii="Times New Roman" w:hAnsi="Times New Roman"/>
                <w:sz w:val="20"/>
                <w:szCs w:val="20"/>
                <w:highlight w:val="none"/>
              </w:rPr>
              <w:t>重点项目或工作办结率</w:t>
            </w: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568" w:type="dxa"/>
            <w:tcMar>
              <w:top w:w="15" w:type="dxa"/>
              <w:left w:w="15" w:type="dxa"/>
              <w:right w:w="15" w:type="dxa"/>
            </w:tcMar>
            <w:vAlign w:val="center"/>
          </w:tcPr>
          <w:p>
            <w:pPr>
              <w:widowControl/>
              <w:jc w:val="center"/>
              <w:textAlignment w:val="center"/>
              <w:rPr>
                <w:color w:val="000000"/>
                <w:kern w:val="0"/>
                <w:sz w:val="20"/>
                <w:szCs w:val="20"/>
                <w:highlight w:val="none"/>
              </w:rPr>
            </w:pPr>
          </w:p>
        </w:tc>
        <w:tc>
          <w:tcPr>
            <w:tcW w:w="2808" w:type="dxa"/>
            <w:tcMar>
              <w:top w:w="15" w:type="dxa"/>
              <w:left w:w="15" w:type="dxa"/>
              <w:right w:w="15" w:type="dxa"/>
            </w:tcMar>
            <w:vAlign w:val="center"/>
          </w:tcPr>
          <w:p>
            <w:pPr>
              <w:widowControl/>
              <w:jc w:val="left"/>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部门年度重点</w:t>
            </w:r>
            <w:r>
              <w:rPr>
                <w:rStyle w:val="14"/>
                <w:rFonts w:hint="default" w:ascii="Times New Roman" w:hAnsi="Times New Roman"/>
                <w:sz w:val="20"/>
                <w:szCs w:val="20"/>
                <w:highlight w:val="none"/>
              </w:rPr>
              <w:t>项目或</w:t>
            </w:r>
            <w:r>
              <w:rPr>
                <w:color w:val="000000"/>
                <w:kern w:val="0"/>
                <w:sz w:val="20"/>
                <w:szCs w:val="20"/>
                <w:highlight w:val="none"/>
              </w:rPr>
              <w:t>工作实际完成数与交办或下达数的比率，用以反映部门对重点</w:t>
            </w:r>
            <w:r>
              <w:rPr>
                <w:rStyle w:val="14"/>
                <w:rFonts w:hint="default" w:ascii="Times New Roman" w:hAnsi="Times New Roman"/>
                <w:sz w:val="20"/>
                <w:szCs w:val="20"/>
                <w:highlight w:val="none"/>
              </w:rPr>
              <w:t>项目或</w:t>
            </w:r>
            <w:r>
              <w:rPr>
                <w:color w:val="000000"/>
                <w:kern w:val="0"/>
                <w:sz w:val="20"/>
                <w:szCs w:val="20"/>
                <w:highlight w:val="none"/>
              </w:rPr>
              <w:t>工作的办理落实程度。</w:t>
            </w:r>
          </w:p>
        </w:tc>
        <w:tc>
          <w:tcPr>
            <w:tcW w:w="3338" w:type="dxa"/>
            <w:tcMar>
              <w:top w:w="15" w:type="dxa"/>
              <w:left w:w="15" w:type="dxa"/>
              <w:right w:w="15" w:type="dxa"/>
            </w:tcMar>
            <w:vAlign w:val="center"/>
          </w:tcPr>
          <w:p>
            <w:pPr>
              <w:widowControl/>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重点</w:t>
            </w:r>
            <w:r>
              <w:rPr>
                <w:rStyle w:val="14"/>
                <w:rFonts w:hint="default" w:ascii="Times New Roman" w:hAnsi="Times New Roman"/>
                <w:sz w:val="20"/>
                <w:szCs w:val="20"/>
                <w:highlight w:val="none"/>
              </w:rPr>
              <w:t>项目或</w:t>
            </w:r>
            <w:r>
              <w:rPr>
                <w:color w:val="000000"/>
                <w:kern w:val="0"/>
                <w:sz w:val="20"/>
                <w:szCs w:val="20"/>
                <w:highlight w:val="none"/>
              </w:rPr>
              <w:t>工作办结率=（重点</w:t>
            </w:r>
            <w:r>
              <w:rPr>
                <w:rStyle w:val="14"/>
                <w:rFonts w:hint="default" w:ascii="Times New Roman" w:hAnsi="Times New Roman"/>
                <w:sz w:val="20"/>
                <w:szCs w:val="20"/>
                <w:highlight w:val="none"/>
              </w:rPr>
              <w:t>项目或</w:t>
            </w:r>
            <w:r>
              <w:rPr>
                <w:color w:val="000000"/>
                <w:kern w:val="0"/>
                <w:sz w:val="20"/>
                <w:szCs w:val="20"/>
                <w:highlight w:val="none"/>
              </w:rPr>
              <w:t>工作实际完成数/交办或下达数）*100%。重点</w:t>
            </w:r>
            <w:r>
              <w:rPr>
                <w:rStyle w:val="14"/>
                <w:rFonts w:hint="default" w:ascii="Times New Roman" w:hAnsi="Times New Roman"/>
                <w:sz w:val="20"/>
                <w:szCs w:val="20"/>
                <w:highlight w:val="none"/>
              </w:rPr>
              <w:t>项目或</w:t>
            </w:r>
            <w:r>
              <w:rPr>
                <w:color w:val="000000"/>
                <w:kern w:val="0"/>
                <w:sz w:val="20"/>
                <w:szCs w:val="20"/>
                <w:highlight w:val="none"/>
              </w:rPr>
              <w:t>工作是指党委、政府、人大、相关部门交办或下达的工作任务。</w:t>
            </w:r>
          </w:p>
        </w:tc>
        <w:tc>
          <w:tcPr>
            <w:tcW w:w="778" w:type="dxa"/>
            <w:vMerge w:val="continue"/>
            <w:tcMar>
              <w:top w:w="15" w:type="dxa"/>
              <w:left w:w="15" w:type="dxa"/>
              <w:right w:w="15" w:type="dxa"/>
            </w:tcMar>
            <w:vAlign w:val="center"/>
          </w:tcPr>
          <w:p>
            <w:pPr>
              <w:widowControl/>
              <w:textAlignment w:val="center"/>
              <w:rPr>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868" w:type="dxa"/>
            <w:vMerge w:val="restart"/>
            <w:tcMar>
              <w:top w:w="15" w:type="dxa"/>
              <w:left w:w="15" w:type="dxa"/>
              <w:right w:w="15" w:type="dxa"/>
            </w:tcMar>
            <w:vAlign w:val="center"/>
          </w:tcPr>
          <w:p>
            <w:pPr>
              <w:jc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效益</w:t>
            </w:r>
          </w:p>
          <w:p>
            <w:pPr>
              <w:jc w:val="center"/>
              <w:rPr>
                <w:color w:val="000000"/>
                <w:sz w:val="20"/>
                <w:szCs w:val="20"/>
                <w:highlight w:val="none"/>
              </w:rPr>
            </w:pPr>
            <w:r>
              <w:rPr>
                <w:color w:val="000000"/>
                <w:sz w:val="20"/>
                <w:szCs w:val="20"/>
                <w:highlight w:val="none"/>
              </w:rPr>
              <w:t>（</w:t>
            </w:r>
            <w:r>
              <w:rPr>
                <w:rFonts w:hint="eastAsia"/>
                <w:color w:val="000000"/>
                <w:sz w:val="20"/>
                <w:szCs w:val="20"/>
                <w:highlight w:val="none"/>
                <w:lang w:val="en-US" w:eastAsia="zh-CN"/>
              </w:rPr>
              <w:t>17</w:t>
            </w:r>
            <w:r>
              <w:rPr>
                <w:color w:val="000000"/>
                <w:sz w:val="20"/>
                <w:szCs w:val="20"/>
                <w:highlight w:val="none"/>
              </w:rPr>
              <w:t>分）</w:t>
            </w:r>
          </w:p>
        </w:tc>
        <w:tc>
          <w:tcPr>
            <w:tcW w:w="737"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经济</w:t>
            </w:r>
          </w:p>
          <w:p>
            <w:pPr>
              <w:widowControl/>
              <w:jc w:val="center"/>
              <w:textAlignment w:val="center"/>
              <w:rPr>
                <w:rFonts w:hint="default" w:ascii="Times New Roman" w:hAnsi="Times New Roman" w:eastAsia="宋体" w:cs="宋体"/>
                <w:color w:val="000000"/>
                <w:kern w:val="2"/>
                <w:sz w:val="20"/>
                <w:szCs w:val="20"/>
                <w:highlight w:val="none"/>
                <w:u w:val="none"/>
                <w:lang w:val="en-US" w:eastAsia="zh-CN" w:bidi="ar-SA"/>
              </w:rPr>
            </w:pPr>
            <w:r>
              <w:rPr>
                <w:rStyle w:val="14"/>
                <w:rFonts w:hint="default" w:ascii="Times New Roman" w:hAnsi="Times New Roman"/>
                <w:sz w:val="20"/>
                <w:szCs w:val="20"/>
                <w:highlight w:val="none"/>
              </w:rPr>
              <w:t>效益</w:t>
            </w: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568" w:type="dxa"/>
            <w:tcMar>
              <w:top w:w="15" w:type="dxa"/>
              <w:left w:w="15" w:type="dxa"/>
              <w:right w:w="15" w:type="dxa"/>
            </w:tcMar>
            <w:vAlign w:val="center"/>
          </w:tcPr>
          <w:p>
            <w:pPr>
              <w:widowControl/>
              <w:jc w:val="center"/>
              <w:textAlignment w:val="center"/>
              <w:rPr>
                <w:color w:val="000000"/>
                <w:kern w:val="0"/>
                <w:sz w:val="20"/>
                <w:szCs w:val="20"/>
                <w:highlight w:val="none"/>
              </w:rPr>
            </w:pPr>
          </w:p>
        </w:tc>
        <w:tc>
          <w:tcPr>
            <w:tcW w:w="2808" w:type="dxa"/>
            <w:tcMar>
              <w:top w:w="15" w:type="dxa"/>
              <w:left w:w="15" w:type="dxa"/>
              <w:right w:w="15" w:type="dxa"/>
            </w:tcMar>
            <w:vAlign w:val="center"/>
          </w:tcPr>
          <w:p>
            <w:pPr>
              <w:widowControl/>
              <w:jc w:val="left"/>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部门履行职责对经济发展所带来的直接或间接影响</w:t>
            </w:r>
          </w:p>
        </w:tc>
        <w:tc>
          <w:tcPr>
            <w:tcW w:w="3338" w:type="dxa"/>
            <w:vMerge w:val="restart"/>
            <w:tcMar>
              <w:top w:w="15" w:type="dxa"/>
              <w:left w:w="15" w:type="dxa"/>
              <w:right w:w="15" w:type="dxa"/>
            </w:tcMar>
            <w:vAlign w:val="center"/>
          </w:tcPr>
          <w:p>
            <w:pPr>
              <w:widowControl/>
              <w:textAlignment w:val="center"/>
              <w:rPr>
                <w:color w:val="000000"/>
                <w:kern w:val="0"/>
                <w:sz w:val="20"/>
                <w:szCs w:val="20"/>
                <w:highlight w:val="none"/>
              </w:rPr>
            </w:pPr>
            <w:r>
              <w:rPr>
                <w:color w:val="000000"/>
                <w:kern w:val="0"/>
                <w:sz w:val="20"/>
                <w:szCs w:val="20"/>
                <w:highlight w:val="none"/>
              </w:rPr>
              <w:t>此三项指标为设置部门整体支出绩效评价指标时必须考虑的共性要素，可根据部门实际并结合部门整体支出绩效目标设立情况有选择的进行设置，并将其细化为相应的个性化指标。</w:t>
            </w:r>
          </w:p>
        </w:tc>
        <w:tc>
          <w:tcPr>
            <w:tcW w:w="778" w:type="dxa"/>
            <w:vMerge w:val="restart"/>
            <w:tcMar>
              <w:top w:w="15" w:type="dxa"/>
              <w:left w:w="15" w:type="dxa"/>
              <w:right w:w="15" w:type="dxa"/>
            </w:tcMar>
            <w:vAlign w:val="center"/>
          </w:tcPr>
          <w:p>
            <w:pPr>
              <w:widowControl/>
              <w:jc w:val="center"/>
              <w:textAlignment w:val="center"/>
              <w:rPr>
                <w:rFonts w:hint="eastAsia" w:eastAsiaTheme="minorEastAsia"/>
                <w:color w:val="000000"/>
                <w:kern w:val="0"/>
                <w:sz w:val="20"/>
                <w:szCs w:val="20"/>
                <w:highlight w:val="none"/>
                <w:lang w:val="en-US" w:eastAsia="zh-CN"/>
              </w:rPr>
            </w:pPr>
            <w:r>
              <w:rPr>
                <w:rFonts w:hint="eastAsia"/>
                <w:color w:val="000000"/>
                <w:kern w:val="0"/>
                <w:sz w:val="20"/>
                <w:szCs w:val="20"/>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社会</w:t>
            </w:r>
          </w:p>
          <w:p>
            <w:pPr>
              <w:widowControl/>
              <w:jc w:val="center"/>
              <w:textAlignment w:val="center"/>
              <w:rPr>
                <w:rFonts w:hint="default" w:ascii="Times New Roman" w:hAnsi="Times New Roman" w:eastAsia="宋体" w:cs="宋体"/>
                <w:color w:val="000000"/>
                <w:kern w:val="2"/>
                <w:sz w:val="20"/>
                <w:szCs w:val="20"/>
                <w:highlight w:val="none"/>
                <w:u w:val="none"/>
                <w:lang w:val="en-US" w:eastAsia="zh-CN" w:bidi="ar-SA"/>
              </w:rPr>
            </w:pPr>
            <w:r>
              <w:rPr>
                <w:rStyle w:val="14"/>
                <w:rFonts w:hint="default" w:ascii="Times New Roman" w:hAnsi="Times New Roman"/>
                <w:sz w:val="20"/>
                <w:szCs w:val="20"/>
                <w:highlight w:val="none"/>
              </w:rPr>
              <w:t>效益</w:t>
            </w: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568" w:type="dxa"/>
            <w:tcMar>
              <w:top w:w="15" w:type="dxa"/>
              <w:left w:w="15" w:type="dxa"/>
              <w:right w:w="15" w:type="dxa"/>
            </w:tcMar>
            <w:vAlign w:val="center"/>
          </w:tcPr>
          <w:p>
            <w:pPr>
              <w:widowControl/>
              <w:jc w:val="center"/>
              <w:textAlignment w:val="center"/>
              <w:rPr>
                <w:color w:val="000000"/>
                <w:kern w:val="0"/>
                <w:sz w:val="20"/>
                <w:szCs w:val="20"/>
                <w:highlight w:val="none"/>
              </w:rPr>
            </w:pPr>
          </w:p>
        </w:tc>
        <w:tc>
          <w:tcPr>
            <w:tcW w:w="2808" w:type="dxa"/>
            <w:tcMar>
              <w:top w:w="15" w:type="dxa"/>
              <w:left w:w="15" w:type="dxa"/>
              <w:right w:w="15" w:type="dxa"/>
            </w:tcMar>
            <w:vAlign w:val="center"/>
          </w:tcPr>
          <w:p>
            <w:pPr>
              <w:widowControl/>
              <w:jc w:val="left"/>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部门履行职责对社会发展所带来的直接或间接影响</w:t>
            </w:r>
          </w:p>
        </w:tc>
        <w:tc>
          <w:tcPr>
            <w:tcW w:w="3338" w:type="dxa"/>
            <w:vMerge w:val="continue"/>
            <w:tcMar>
              <w:top w:w="15" w:type="dxa"/>
              <w:left w:w="15" w:type="dxa"/>
              <w:right w:w="15" w:type="dxa"/>
            </w:tcMar>
            <w:vAlign w:val="center"/>
          </w:tcPr>
          <w:p>
            <w:pPr>
              <w:widowControl/>
              <w:textAlignment w:val="center"/>
              <w:rPr>
                <w:color w:val="000000"/>
                <w:kern w:val="0"/>
                <w:sz w:val="20"/>
                <w:szCs w:val="20"/>
                <w:highlight w:val="none"/>
              </w:rPr>
            </w:pPr>
          </w:p>
        </w:tc>
        <w:tc>
          <w:tcPr>
            <w:tcW w:w="778" w:type="dxa"/>
            <w:vMerge w:val="continue"/>
            <w:tcMar>
              <w:top w:w="15" w:type="dxa"/>
              <w:left w:w="15" w:type="dxa"/>
              <w:right w:w="15" w:type="dxa"/>
            </w:tcMar>
            <w:vAlign w:val="center"/>
          </w:tcPr>
          <w:p>
            <w:pPr>
              <w:widowControl/>
              <w:jc w:val="center"/>
              <w:textAlignment w:val="center"/>
              <w:rPr>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trPr>
        <w:tc>
          <w:tcPr>
            <w:tcW w:w="868" w:type="dxa"/>
            <w:vMerge w:val="continue"/>
            <w:tcMar>
              <w:top w:w="15" w:type="dxa"/>
              <w:left w:w="15" w:type="dxa"/>
              <w:right w:w="15" w:type="dxa"/>
            </w:tcMar>
            <w:vAlign w:val="center"/>
          </w:tcPr>
          <w:p>
            <w:pPr>
              <w:jc w:val="center"/>
              <w:rPr>
                <w:color w:val="000000"/>
                <w:sz w:val="20"/>
                <w:szCs w:val="20"/>
                <w:highlight w:val="none"/>
              </w:rPr>
            </w:pPr>
          </w:p>
        </w:tc>
        <w:tc>
          <w:tcPr>
            <w:tcW w:w="737"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r>
              <w:rPr>
                <w:rStyle w:val="14"/>
                <w:rFonts w:hint="default" w:ascii="Times New Roman" w:hAnsi="Times New Roman"/>
                <w:sz w:val="20"/>
                <w:szCs w:val="20"/>
                <w:highlight w:val="none"/>
              </w:rPr>
              <w:t>生态</w:t>
            </w:r>
          </w:p>
          <w:p>
            <w:pPr>
              <w:widowControl/>
              <w:jc w:val="center"/>
              <w:textAlignment w:val="center"/>
              <w:rPr>
                <w:rFonts w:hint="default" w:ascii="Times New Roman" w:hAnsi="Times New Roman" w:eastAsia="宋体" w:cs="宋体"/>
                <w:color w:val="000000"/>
                <w:kern w:val="2"/>
                <w:sz w:val="20"/>
                <w:szCs w:val="20"/>
                <w:highlight w:val="none"/>
                <w:u w:val="none"/>
                <w:lang w:val="en-US" w:eastAsia="zh-CN" w:bidi="ar-SA"/>
              </w:rPr>
            </w:pPr>
            <w:r>
              <w:rPr>
                <w:rStyle w:val="14"/>
                <w:rFonts w:hint="default" w:ascii="Times New Roman" w:hAnsi="Times New Roman"/>
                <w:sz w:val="20"/>
                <w:szCs w:val="20"/>
                <w:highlight w:val="none"/>
              </w:rPr>
              <w:t>效益</w:t>
            </w: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568" w:type="dxa"/>
            <w:tcMar>
              <w:top w:w="15" w:type="dxa"/>
              <w:left w:w="15" w:type="dxa"/>
              <w:right w:w="15" w:type="dxa"/>
            </w:tcMar>
            <w:vAlign w:val="center"/>
          </w:tcPr>
          <w:p>
            <w:pPr>
              <w:widowControl/>
              <w:jc w:val="center"/>
              <w:textAlignment w:val="center"/>
              <w:rPr>
                <w:color w:val="000000"/>
                <w:kern w:val="0"/>
                <w:sz w:val="20"/>
                <w:szCs w:val="20"/>
                <w:highlight w:val="none"/>
              </w:rPr>
            </w:pPr>
          </w:p>
        </w:tc>
        <w:tc>
          <w:tcPr>
            <w:tcW w:w="2808" w:type="dxa"/>
            <w:tcMar>
              <w:top w:w="15" w:type="dxa"/>
              <w:left w:w="15" w:type="dxa"/>
              <w:right w:w="15" w:type="dxa"/>
            </w:tcMar>
            <w:vAlign w:val="center"/>
          </w:tcPr>
          <w:p>
            <w:pPr>
              <w:widowControl/>
              <w:jc w:val="left"/>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部门履行职责对生态环境所带来的直接或间接影响</w:t>
            </w:r>
          </w:p>
        </w:tc>
        <w:tc>
          <w:tcPr>
            <w:tcW w:w="3338" w:type="dxa"/>
            <w:vMerge w:val="continue"/>
            <w:tcMar>
              <w:top w:w="15" w:type="dxa"/>
              <w:left w:w="15" w:type="dxa"/>
              <w:right w:w="15" w:type="dxa"/>
            </w:tcMar>
            <w:vAlign w:val="center"/>
          </w:tcPr>
          <w:p>
            <w:pPr>
              <w:widowControl/>
              <w:textAlignment w:val="center"/>
              <w:rPr>
                <w:color w:val="000000"/>
                <w:kern w:val="0"/>
                <w:sz w:val="20"/>
                <w:szCs w:val="20"/>
                <w:highlight w:val="none"/>
              </w:rPr>
            </w:pPr>
          </w:p>
        </w:tc>
        <w:tc>
          <w:tcPr>
            <w:tcW w:w="778" w:type="dxa"/>
            <w:vMerge w:val="continue"/>
            <w:tcMar>
              <w:top w:w="15" w:type="dxa"/>
              <w:left w:w="15" w:type="dxa"/>
              <w:right w:w="15" w:type="dxa"/>
            </w:tcMar>
            <w:vAlign w:val="center"/>
          </w:tcPr>
          <w:p>
            <w:pPr>
              <w:widowControl/>
              <w:jc w:val="center"/>
              <w:textAlignment w:val="center"/>
              <w:rPr>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868" w:type="dxa"/>
            <w:tcMar>
              <w:top w:w="15" w:type="dxa"/>
              <w:left w:w="15" w:type="dxa"/>
              <w:right w:w="15" w:type="dxa"/>
            </w:tcMar>
            <w:vAlign w:val="center"/>
          </w:tcPr>
          <w:p>
            <w:pPr>
              <w:jc w:val="center"/>
              <w:rPr>
                <w:rFonts w:hint="eastAsia"/>
                <w:color w:val="000000"/>
                <w:sz w:val="20"/>
                <w:szCs w:val="20"/>
                <w:highlight w:val="none"/>
              </w:rPr>
            </w:pPr>
            <w:r>
              <w:rPr>
                <w:rFonts w:hint="eastAsia"/>
                <w:color w:val="000000"/>
                <w:sz w:val="20"/>
                <w:szCs w:val="20"/>
                <w:highlight w:val="none"/>
              </w:rPr>
              <w:t>满意度</w:t>
            </w:r>
          </w:p>
          <w:p>
            <w:pPr>
              <w:jc w:val="center"/>
              <w:rPr>
                <w:color w:val="000000"/>
                <w:sz w:val="20"/>
                <w:szCs w:val="20"/>
                <w:highlight w:val="none"/>
              </w:rPr>
            </w:pPr>
            <w:r>
              <w:rPr>
                <w:rFonts w:hint="eastAsia"/>
                <w:color w:val="000000"/>
                <w:sz w:val="20"/>
                <w:szCs w:val="20"/>
                <w:highlight w:val="none"/>
              </w:rPr>
              <w:t>（8分）</w:t>
            </w:r>
          </w:p>
        </w:tc>
        <w:tc>
          <w:tcPr>
            <w:tcW w:w="737" w:type="dxa"/>
            <w:tcMar>
              <w:top w:w="15" w:type="dxa"/>
              <w:left w:w="15" w:type="dxa"/>
              <w:right w:w="15" w:type="dxa"/>
            </w:tcMar>
            <w:vAlign w:val="center"/>
          </w:tcPr>
          <w:p>
            <w:pPr>
              <w:jc w:val="center"/>
              <w:rPr>
                <w:color w:val="000000"/>
                <w:sz w:val="20"/>
                <w:szCs w:val="20"/>
                <w:highlight w:val="none"/>
              </w:rPr>
            </w:pPr>
            <w:r>
              <w:rPr>
                <w:rFonts w:hint="eastAsia"/>
                <w:color w:val="000000"/>
                <w:sz w:val="20"/>
                <w:szCs w:val="20"/>
                <w:highlight w:val="none"/>
              </w:rPr>
              <w:t>社会公众或服务对象满意度</w:t>
            </w:r>
          </w:p>
        </w:tc>
        <w:tc>
          <w:tcPr>
            <w:tcW w:w="833" w:type="dxa"/>
            <w:tcMar>
              <w:top w:w="15" w:type="dxa"/>
              <w:left w:w="15" w:type="dxa"/>
              <w:right w:w="15" w:type="dxa"/>
            </w:tcMar>
            <w:vAlign w:val="center"/>
          </w:tcPr>
          <w:p>
            <w:pPr>
              <w:widowControl/>
              <w:jc w:val="center"/>
              <w:textAlignment w:val="center"/>
              <w:rPr>
                <w:rStyle w:val="14"/>
                <w:rFonts w:hint="default" w:ascii="Times New Roman" w:hAnsi="Times New Roman"/>
                <w:sz w:val="20"/>
                <w:szCs w:val="20"/>
                <w:highlight w:val="none"/>
              </w:rPr>
            </w:pPr>
          </w:p>
        </w:tc>
        <w:tc>
          <w:tcPr>
            <w:tcW w:w="568" w:type="dxa"/>
            <w:tcMar>
              <w:top w:w="15" w:type="dxa"/>
              <w:left w:w="15" w:type="dxa"/>
              <w:right w:w="15" w:type="dxa"/>
            </w:tcMar>
            <w:vAlign w:val="center"/>
          </w:tcPr>
          <w:p>
            <w:pPr>
              <w:widowControl/>
              <w:jc w:val="center"/>
              <w:textAlignment w:val="center"/>
              <w:rPr>
                <w:color w:val="000000"/>
                <w:kern w:val="0"/>
                <w:sz w:val="20"/>
                <w:szCs w:val="20"/>
                <w:highlight w:val="none"/>
              </w:rPr>
            </w:pPr>
          </w:p>
        </w:tc>
        <w:tc>
          <w:tcPr>
            <w:tcW w:w="2808" w:type="dxa"/>
            <w:tcMar>
              <w:top w:w="15" w:type="dxa"/>
              <w:left w:w="15" w:type="dxa"/>
              <w:right w:w="15" w:type="dxa"/>
            </w:tcMar>
            <w:vAlign w:val="center"/>
          </w:tcPr>
          <w:p>
            <w:pPr>
              <w:widowControl/>
              <w:jc w:val="left"/>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社会公众或部门的服务对象对部门履职效果的满意程度</w:t>
            </w:r>
          </w:p>
        </w:tc>
        <w:tc>
          <w:tcPr>
            <w:tcW w:w="3338" w:type="dxa"/>
            <w:tcMar>
              <w:top w:w="15" w:type="dxa"/>
              <w:left w:w="15" w:type="dxa"/>
              <w:right w:w="15" w:type="dxa"/>
            </w:tcMar>
            <w:vAlign w:val="center"/>
          </w:tcPr>
          <w:p>
            <w:pPr>
              <w:widowControl/>
              <w:textAlignment w:val="center"/>
              <w:rPr>
                <w:rFonts w:ascii="Calibri" w:hAnsi="Calibri" w:eastAsia="宋体" w:cs="Times New Roman"/>
                <w:color w:val="000000"/>
                <w:kern w:val="0"/>
                <w:sz w:val="20"/>
                <w:szCs w:val="20"/>
                <w:highlight w:val="none"/>
                <w:lang w:val="en-US" w:eastAsia="zh-CN" w:bidi="ar-SA"/>
              </w:rPr>
            </w:pPr>
            <w:r>
              <w:rPr>
                <w:color w:val="000000"/>
                <w:kern w:val="0"/>
                <w:sz w:val="20"/>
                <w:szCs w:val="20"/>
                <w:highlight w:val="none"/>
              </w:rPr>
              <w:t>社会公众或服务对象是指部门履行职责而影响到的部门、群体或个人。一般采取社会调查的方式。</w:t>
            </w:r>
          </w:p>
        </w:tc>
        <w:tc>
          <w:tcPr>
            <w:tcW w:w="778" w:type="dxa"/>
            <w:tcMar>
              <w:top w:w="15" w:type="dxa"/>
              <w:left w:w="15" w:type="dxa"/>
              <w:right w:w="15" w:type="dxa"/>
            </w:tcMar>
            <w:vAlign w:val="center"/>
          </w:tcPr>
          <w:p>
            <w:pPr>
              <w:widowControl/>
              <w:jc w:val="center"/>
              <w:textAlignment w:val="center"/>
              <w:rPr>
                <w:rFonts w:hint="eastAsia" w:eastAsiaTheme="minorEastAsia"/>
                <w:color w:val="000000"/>
                <w:kern w:val="0"/>
                <w:sz w:val="20"/>
                <w:szCs w:val="20"/>
                <w:highlight w:val="none"/>
                <w:lang w:val="en-US" w:eastAsia="zh-CN"/>
              </w:rPr>
            </w:pPr>
            <w:r>
              <w:rPr>
                <w:rFonts w:hint="eastAsia"/>
                <w:color w:val="000000"/>
                <w:kern w:val="0"/>
                <w:sz w:val="20"/>
                <w:szCs w:val="20"/>
                <w:highlight w:val="none"/>
                <w:lang w:val="en-US" w:eastAsia="zh-CN"/>
              </w:rPr>
              <w:t>8</w:t>
            </w:r>
          </w:p>
        </w:tc>
      </w:tr>
    </w:tbl>
    <w:p>
      <w:pPr>
        <w:jc w:val="center"/>
        <w:rPr>
          <w:rFonts w:ascii="仿宋" w:hAnsi="仿宋" w:eastAsia="仿宋"/>
          <w:color w:val="000000"/>
          <w:sz w:val="36"/>
          <w:szCs w:val="44"/>
        </w:rPr>
      </w:pPr>
    </w:p>
    <w:p>
      <w:pPr>
        <w:rPr>
          <w:rFonts w:ascii="仿宋" w:hAnsi="仿宋" w:eastAsia="仿宋"/>
          <w:sz w:val="32"/>
          <w:szCs w:val="32"/>
        </w:rPr>
      </w:pPr>
      <w:r>
        <w:rPr>
          <w:rFonts w:hint="eastAsia" w:ascii="仿宋" w:hAnsi="仿宋" w:eastAsia="仿宋"/>
          <w:sz w:val="32"/>
          <w:szCs w:val="32"/>
        </w:rPr>
        <w:t>　</w:t>
      </w:r>
    </w:p>
    <w:p>
      <w:pPr>
        <w:rPr>
          <w:rFonts w:hint="eastAsia" w:ascii="Times New Roman" w:hAnsi="Times New Roman" w:eastAsia="黑体"/>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827F39"/>
    <w:multiLevelType w:val="singleLevel"/>
    <w:tmpl w:val="E9827F39"/>
    <w:lvl w:ilvl="0" w:tentative="0">
      <w:start w:val="3"/>
      <w:numFmt w:val="chineseCounting"/>
      <w:suff w:val="nothing"/>
      <w:lvlText w:val="（%1）"/>
      <w:lvlJc w:val="left"/>
      <w:rPr>
        <w:rFonts w:hint="eastAsia"/>
      </w:rPr>
    </w:lvl>
  </w:abstractNum>
  <w:abstractNum w:abstractNumId="1">
    <w:nsid w:val="61D6672D"/>
    <w:multiLevelType w:val="singleLevel"/>
    <w:tmpl w:val="61D6672D"/>
    <w:lvl w:ilvl="0" w:tentative="0">
      <w:start w:val="2"/>
      <w:numFmt w:val="chineseCounting"/>
      <w:suff w:val="nothing"/>
      <w:lvlText w:val="（%1）"/>
      <w:lvlJc w:val="left"/>
      <w:rPr>
        <w:rFonts w:hint="eastAsia"/>
      </w:rPr>
    </w:lvl>
  </w:abstractNum>
  <w:abstractNum w:abstractNumId="2">
    <w:nsid w:val="7A5D34F0"/>
    <w:multiLevelType w:val="singleLevel"/>
    <w:tmpl w:val="7A5D34F0"/>
    <w:lvl w:ilvl="0" w:tentative="0">
      <w:start w:val="2"/>
      <w:numFmt w:val="chineseCounting"/>
      <w:suff w:val="nothing"/>
      <w:lvlText w:val="（%1）"/>
      <w:lvlJc w:val="left"/>
      <w:pPr>
        <w:ind w:left="-1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OWNlOWNhMWM5YjBlMWE3NWJkZjlmZjBjOTNiZmIifQ=="/>
  </w:docVars>
  <w:rsids>
    <w:rsidRoot w:val="002F23CF"/>
    <w:rsid w:val="00000193"/>
    <w:rsid w:val="00056399"/>
    <w:rsid w:val="000C764A"/>
    <w:rsid w:val="000E22BB"/>
    <w:rsid w:val="00146E13"/>
    <w:rsid w:val="00183517"/>
    <w:rsid w:val="002114DC"/>
    <w:rsid w:val="00234954"/>
    <w:rsid w:val="0028491D"/>
    <w:rsid w:val="002C3F5F"/>
    <w:rsid w:val="002F0C3D"/>
    <w:rsid w:val="002F23CF"/>
    <w:rsid w:val="0031114D"/>
    <w:rsid w:val="00317024"/>
    <w:rsid w:val="00344C16"/>
    <w:rsid w:val="003464BC"/>
    <w:rsid w:val="00347401"/>
    <w:rsid w:val="003A1069"/>
    <w:rsid w:val="003B1FCE"/>
    <w:rsid w:val="003B627E"/>
    <w:rsid w:val="003F78FB"/>
    <w:rsid w:val="004228F3"/>
    <w:rsid w:val="00432CEC"/>
    <w:rsid w:val="004A78BC"/>
    <w:rsid w:val="004D11A2"/>
    <w:rsid w:val="004D331F"/>
    <w:rsid w:val="004E5380"/>
    <w:rsid w:val="005069D3"/>
    <w:rsid w:val="00513CAE"/>
    <w:rsid w:val="00527AAA"/>
    <w:rsid w:val="00537886"/>
    <w:rsid w:val="00586259"/>
    <w:rsid w:val="00592DC1"/>
    <w:rsid w:val="00594630"/>
    <w:rsid w:val="00616AA8"/>
    <w:rsid w:val="00642909"/>
    <w:rsid w:val="006948E9"/>
    <w:rsid w:val="00694B59"/>
    <w:rsid w:val="006A0568"/>
    <w:rsid w:val="006F717E"/>
    <w:rsid w:val="00747298"/>
    <w:rsid w:val="00761D6A"/>
    <w:rsid w:val="00786F5B"/>
    <w:rsid w:val="007E0E26"/>
    <w:rsid w:val="00897EEB"/>
    <w:rsid w:val="008A7D99"/>
    <w:rsid w:val="008B34E5"/>
    <w:rsid w:val="008B7A91"/>
    <w:rsid w:val="009311F3"/>
    <w:rsid w:val="0093146E"/>
    <w:rsid w:val="00932BF2"/>
    <w:rsid w:val="00951127"/>
    <w:rsid w:val="00985A8D"/>
    <w:rsid w:val="009906D7"/>
    <w:rsid w:val="00991886"/>
    <w:rsid w:val="009B07B0"/>
    <w:rsid w:val="009E00A6"/>
    <w:rsid w:val="009F1DAC"/>
    <w:rsid w:val="00A04FA9"/>
    <w:rsid w:val="00A722AB"/>
    <w:rsid w:val="00A777B0"/>
    <w:rsid w:val="00AB6A83"/>
    <w:rsid w:val="00AF7F84"/>
    <w:rsid w:val="00B77233"/>
    <w:rsid w:val="00B82DB2"/>
    <w:rsid w:val="00BF30D7"/>
    <w:rsid w:val="00C14C0D"/>
    <w:rsid w:val="00C3079E"/>
    <w:rsid w:val="00C32945"/>
    <w:rsid w:val="00C45D73"/>
    <w:rsid w:val="00C56DF3"/>
    <w:rsid w:val="00C70765"/>
    <w:rsid w:val="00C957F2"/>
    <w:rsid w:val="00CA3FCE"/>
    <w:rsid w:val="00CD1042"/>
    <w:rsid w:val="00CF02EF"/>
    <w:rsid w:val="00CF32A1"/>
    <w:rsid w:val="00D01FAB"/>
    <w:rsid w:val="00D02354"/>
    <w:rsid w:val="00D568E6"/>
    <w:rsid w:val="00D60F48"/>
    <w:rsid w:val="00D61C23"/>
    <w:rsid w:val="00D65596"/>
    <w:rsid w:val="00E2289B"/>
    <w:rsid w:val="00E37F9D"/>
    <w:rsid w:val="00E5758E"/>
    <w:rsid w:val="00EB35FE"/>
    <w:rsid w:val="00EB3EF5"/>
    <w:rsid w:val="00EB7BAF"/>
    <w:rsid w:val="00EC5A3E"/>
    <w:rsid w:val="00ED45A4"/>
    <w:rsid w:val="00EE2CE9"/>
    <w:rsid w:val="00F27700"/>
    <w:rsid w:val="00F408DF"/>
    <w:rsid w:val="00F540AB"/>
    <w:rsid w:val="00FB45B3"/>
    <w:rsid w:val="00FD6D50"/>
    <w:rsid w:val="00FE5B0D"/>
    <w:rsid w:val="00FF3793"/>
    <w:rsid w:val="0129533F"/>
    <w:rsid w:val="016361EB"/>
    <w:rsid w:val="01F96FF2"/>
    <w:rsid w:val="02376EE6"/>
    <w:rsid w:val="026322F6"/>
    <w:rsid w:val="029D4420"/>
    <w:rsid w:val="02CE54DA"/>
    <w:rsid w:val="030541BD"/>
    <w:rsid w:val="03313330"/>
    <w:rsid w:val="034E1297"/>
    <w:rsid w:val="04EF2EF3"/>
    <w:rsid w:val="04FF15C2"/>
    <w:rsid w:val="05F2066C"/>
    <w:rsid w:val="06A31F97"/>
    <w:rsid w:val="06A55330"/>
    <w:rsid w:val="06DC57BD"/>
    <w:rsid w:val="077C63ED"/>
    <w:rsid w:val="07E10006"/>
    <w:rsid w:val="07E12C85"/>
    <w:rsid w:val="0952705B"/>
    <w:rsid w:val="0A360FC4"/>
    <w:rsid w:val="0A633208"/>
    <w:rsid w:val="0B136EBA"/>
    <w:rsid w:val="0B6D26AC"/>
    <w:rsid w:val="0BEF095C"/>
    <w:rsid w:val="0CE320A2"/>
    <w:rsid w:val="0D6C07D1"/>
    <w:rsid w:val="0E0416B4"/>
    <w:rsid w:val="0E0F55BB"/>
    <w:rsid w:val="0E4C330B"/>
    <w:rsid w:val="0EB074A3"/>
    <w:rsid w:val="0ED33D1C"/>
    <w:rsid w:val="0ED441F2"/>
    <w:rsid w:val="0F853229"/>
    <w:rsid w:val="103F6DF5"/>
    <w:rsid w:val="10A216D2"/>
    <w:rsid w:val="10B334D9"/>
    <w:rsid w:val="10C3200C"/>
    <w:rsid w:val="10D42A8B"/>
    <w:rsid w:val="114A2F91"/>
    <w:rsid w:val="116059CF"/>
    <w:rsid w:val="122E760A"/>
    <w:rsid w:val="12AF4ABF"/>
    <w:rsid w:val="139031AD"/>
    <w:rsid w:val="139F7234"/>
    <w:rsid w:val="141B7F07"/>
    <w:rsid w:val="14450A35"/>
    <w:rsid w:val="1469746F"/>
    <w:rsid w:val="14842204"/>
    <w:rsid w:val="149D6AD6"/>
    <w:rsid w:val="14A70B65"/>
    <w:rsid w:val="150344F3"/>
    <w:rsid w:val="151D48CE"/>
    <w:rsid w:val="159A6A11"/>
    <w:rsid w:val="16814185"/>
    <w:rsid w:val="17647B05"/>
    <w:rsid w:val="17C03A74"/>
    <w:rsid w:val="1889275A"/>
    <w:rsid w:val="194C6DB4"/>
    <w:rsid w:val="196046A5"/>
    <w:rsid w:val="19EC2DA2"/>
    <w:rsid w:val="19FB07FA"/>
    <w:rsid w:val="1AFA17D5"/>
    <w:rsid w:val="1B6E5295"/>
    <w:rsid w:val="1C3F658C"/>
    <w:rsid w:val="1CB21EA4"/>
    <w:rsid w:val="1D5F7584"/>
    <w:rsid w:val="1DE63221"/>
    <w:rsid w:val="1DE70C96"/>
    <w:rsid w:val="1EBB08BA"/>
    <w:rsid w:val="206022EB"/>
    <w:rsid w:val="20EC529E"/>
    <w:rsid w:val="20F85F56"/>
    <w:rsid w:val="21C20B00"/>
    <w:rsid w:val="22D53B45"/>
    <w:rsid w:val="23126756"/>
    <w:rsid w:val="2352189A"/>
    <w:rsid w:val="24856528"/>
    <w:rsid w:val="24B23E9B"/>
    <w:rsid w:val="250544CA"/>
    <w:rsid w:val="260275C8"/>
    <w:rsid w:val="26CC7BCF"/>
    <w:rsid w:val="277916AD"/>
    <w:rsid w:val="27A84500"/>
    <w:rsid w:val="282553A5"/>
    <w:rsid w:val="28852879"/>
    <w:rsid w:val="28CD1D7F"/>
    <w:rsid w:val="290A24EC"/>
    <w:rsid w:val="29AD1F0D"/>
    <w:rsid w:val="2A813CE6"/>
    <w:rsid w:val="2B5B17B1"/>
    <w:rsid w:val="2B973BF0"/>
    <w:rsid w:val="2C2E55F4"/>
    <w:rsid w:val="2CD07D72"/>
    <w:rsid w:val="2D7E695B"/>
    <w:rsid w:val="2E323ED7"/>
    <w:rsid w:val="2E39005E"/>
    <w:rsid w:val="2E920DEF"/>
    <w:rsid w:val="2EEE69FF"/>
    <w:rsid w:val="2F9265AF"/>
    <w:rsid w:val="2FC2335F"/>
    <w:rsid w:val="319C503F"/>
    <w:rsid w:val="34773734"/>
    <w:rsid w:val="34841260"/>
    <w:rsid w:val="355A1559"/>
    <w:rsid w:val="35F85344"/>
    <w:rsid w:val="36263238"/>
    <w:rsid w:val="37953584"/>
    <w:rsid w:val="37A61D3D"/>
    <w:rsid w:val="37CA5B7F"/>
    <w:rsid w:val="37F67C17"/>
    <w:rsid w:val="38456721"/>
    <w:rsid w:val="39365133"/>
    <w:rsid w:val="3A671A34"/>
    <w:rsid w:val="3A755E80"/>
    <w:rsid w:val="3B7C4736"/>
    <w:rsid w:val="3BD30AA0"/>
    <w:rsid w:val="3C121308"/>
    <w:rsid w:val="3C1E08C4"/>
    <w:rsid w:val="3CE44B23"/>
    <w:rsid w:val="3D431BB4"/>
    <w:rsid w:val="3D787972"/>
    <w:rsid w:val="3DBE2F76"/>
    <w:rsid w:val="3DDA0ADB"/>
    <w:rsid w:val="3DE72D42"/>
    <w:rsid w:val="3E3A2E9F"/>
    <w:rsid w:val="3E773645"/>
    <w:rsid w:val="3ECE54F7"/>
    <w:rsid w:val="404E0F89"/>
    <w:rsid w:val="406B0D11"/>
    <w:rsid w:val="40D66E8D"/>
    <w:rsid w:val="40E81502"/>
    <w:rsid w:val="42131B9F"/>
    <w:rsid w:val="42512B52"/>
    <w:rsid w:val="426B492F"/>
    <w:rsid w:val="429064DC"/>
    <w:rsid w:val="42D526B7"/>
    <w:rsid w:val="43060178"/>
    <w:rsid w:val="433D78CE"/>
    <w:rsid w:val="437539FE"/>
    <w:rsid w:val="43CE19C7"/>
    <w:rsid w:val="43D02B5E"/>
    <w:rsid w:val="44E42F93"/>
    <w:rsid w:val="455A2F5A"/>
    <w:rsid w:val="46A26B7D"/>
    <w:rsid w:val="46B64727"/>
    <w:rsid w:val="46D43CB7"/>
    <w:rsid w:val="47160706"/>
    <w:rsid w:val="47FC4DD6"/>
    <w:rsid w:val="49E20B4B"/>
    <w:rsid w:val="4A3A54C5"/>
    <w:rsid w:val="4AC85E7C"/>
    <w:rsid w:val="4C236255"/>
    <w:rsid w:val="4CD5083C"/>
    <w:rsid w:val="4CE62BD4"/>
    <w:rsid w:val="4DD449F2"/>
    <w:rsid w:val="4F16243C"/>
    <w:rsid w:val="50BF7270"/>
    <w:rsid w:val="51397F6A"/>
    <w:rsid w:val="515902A5"/>
    <w:rsid w:val="51700DF1"/>
    <w:rsid w:val="51C50152"/>
    <w:rsid w:val="535153D9"/>
    <w:rsid w:val="536503DC"/>
    <w:rsid w:val="539C4BCC"/>
    <w:rsid w:val="558E12F8"/>
    <w:rsid w:val="56FF0F04"/>
    <w:rsid w:val="57001653"/>
    <w:rsid w:val="570F14AA"/>
    <w:rsid w:val="57302FC9"/>
    <w:rsid w:val="577034BF"/>
    <w:rsid w:val="58BA3604"/>
    <w:rsid w:val="58DA24A2"/>
    <w:rsid w:val="58F80273"/>
    <w:rsid w:val="5AC17E20"/>
    <w:rsid w:val="5BB93A45"/>
    <w:rsid w:val="5C6E69F3"/>
    <w:rsid w:val="5CCF6DB9"/>
    <w:rsid w:val="5D140AC7"/>
    <w:rsid w:val="5D463361"/>
    <w:rsid w:val="5DD843B7"/>
    <w:rsid w:val="5E196D2E"/>
    <w:rsid w:val="5E461BB4"/>
    <w:rsid w:val="5E49674D"/>
    <w:rsid w:val="5E61612C"/>
    <w:rsid w:val="5EA31C2A"/>
    <w:rsid w:val="5EBD3EDE"/>
    <w:rsid w:val="5ED723D2"/>
    <w:rsid w:val="5EE96C2B"/>
    <w:rsid w:val="5F830207"/>
    <w:rsid w:val="5F8A7670"/>
    <w:rsid w:val="5FCA3015"/>
    <w:rsid w:val="603226D3"/>
    <w:rsid w:val="61957644"/>
    <w:rsid w:val="624B67DE"/>
    <w:rsid w:val="632C00CA"/>
    <w:rsid w:val="637759C9"/>
    <w:rsid w:val="64242A8D"/>
    <w:rsid w:val="654810D9"/>
    <w:rsid w:val="666C21CC"/>
    <w:rsid w:val="66B85530"/>
    <w:rsid w:val="66CB71F4"/>
    <w:rsid w:val="676B3CCE"/>
    <w:rsid w:val="67A925DB"/>
    <w:rsid w:val="67E93F01"/>
    <w:rsid w:val="68C7427D"/>
    <w:rsid w:val="6B375CF1"/>
    <w:rsid w:val="6C773A59"/>
    <w:rsid w:val="6D144D8C"/>
    <w:rsid w:val="6DD701D0"/>
    <w:rsid w:val="6EB168C3"/>
    <w:rsid w:val="6FA92650"/>
    <w:rsid w:val="70233EEF"/>
    <w:rsid w:val="705F701B"/>
    <w:rsid w:val="70E01E66"/>
    <w:rsid w:val="7145444B"/>
    <w:rsid w:val="71F17F54"/>
    <w:rsid w:val="732B2913"/>
    <w:rsid w:val="736C411C"/>
    <w:rsid w:val="73890B6E"/>
    <w:rsid w:val="740069BA"/>
    <w:rsid w:val="74187C90"/>
    <w:rsid w:val="743649A2"/>
    <w:rsid w:val="763F5880"/>
    <w:rsid w:val="76D91897"/>
    <w:rsid w:val="76EB4253"/>
    <w:rsid w:val="771F2235"/>
    <w:rsid w:val="774F5AC3"/>
    <w:rsid w:val="77BF0C2B"/>
    <w:rsid w:val="77D20A25"/>
    <w:rsid w:val="77D9208C"/>
    <w:rsid w:val="780D55C0"/>
    <w:rsid w:val="78103712"/>
    <w:rsid w:val="78271FAB"/>
    <w:rsid w:val="788245C8"/>
    <w:rsid w:val="79D27ED9"/>
    <w:rsid w:val="7B250C49"/>
    <w:rsid w:val="7CED7017"/>
    <w:rsid w:val="7D423A69"/>
    <w:rsid w:val="7D4279B5"/>
    <w:rsid w:val="7DA82AB7"/>
    <w:rsid w:val="7DDF15A8"/>
    <w:rsid w:val="7E1752A2"/>
    <w:rsid w:val="7E2C0AE2"/>
    <w:rsid w:val="7EBF2D60"/>
    <w:rsid w:val="7F030455"/>
    <w:rsid w:val="7F6F0D21"/>
    <w:rsid w:val="7FF91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  文"/>
    <w:basedOn w:val="1"/>
    <w:next w:val="1"/>
    <w:qFormat/>
    <w:uiPriority w:val="0"/>
    <w:pPr>
      <w:spacing w:line="360" w:lineRule="auto"/>
      <w:ind w:firstLine="560" w:firstLineChars="200"/>
    </w:pPr>
    <w:rPr>
      <w:rFonts w:ascii="宋体" w:hAnsi="宋体" w:cs="仿宋_GB2312"/>
      <w:sz w:val="24"/>
      <w:szCs w:val="2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paragraph" w:customStyle="1" w:styleId="10">
    <w:name w:val="BodyText1I"/>
    <w:basedOn w:val="1"/>
    <w:qFormat/>
    <w:uiPriority w:val="99"/>
    <w:pPr>
      <w:snapToGrid w:val="0"/>
      <w:spacing w:line="360" w:lineRule="auto"/>
      <w:ind w:firstLine="420" w:firstLineChars="100"/>
    </w:pPr>
    <w:rPr>
      <w:sz w:val="28"/>
      <w:szCs w:val="20"/>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font41"/>
    <w:basedOn w:val="8"/>
    <w:qFormat/>
    <w:uiPriority w:val="0"/>
    <w:rPr>
      <w:rFonts w:hint="eastAsia" w:ascii="宋体" w:hAnsi="宋体" w:eastAsia="宋体" w:cs="宋体"/>
      <w:color w:val="000000"/>
      <w:sz w:val="18"/>
      <w:szCs w:val="18"/>
      <w:u w:val="none"/>
    </w:rPr>
  </w:style>
  <w:style w:type="character" w:customStyle="1" w:styleId="15">
    <w:name w:val="font31"/>
    <w:basedOn w:val="8"/>
    <w:qFormat/>
    <w:uiPriority w:val="0"/>
    <w:rPr>
      <w:rFonts w:hint="default" w:ascii="Times New Roman" w:hAnsi="Times New Roman" w:cs="Times New Roman"/>
      <w:color w:val="000000"/>
      <w:sz w:val="18"/>
      <w:szCs w:val="18"/>
      <w:u w:val="none"/>
    </w:rPr>
  </w:style>
  <w:style w:type="character" w:customStyle="1" w:styleId="16">
    <w:name w:val="font21"/>
    <w:basedOn w:val="8"/>
    <w:qFormat/>
    <w:uiPriority w:val="0"/>
    <w:rPr>
      <w:rFonts w:hint="eastAsia" w:ascii="宋体" w:hAnsi="宋体" w:eastAsia="宋体" w:cs="宋体"/>
      <w:color w:val="FF0000"/>
      <w:sz w:val="18"/>
      <w:szCs w:val="18"/>
      <w:u w:val="none"/>
    </w:rPr>
  </w:style>
  <w:style w:type="character" w:customStyle="1" w:styleId="17">
    <w:name w:val="font11"/>
    <w:basedOn w:val="8"/>
    <w:qFormat/>
    <w:uiPriority w:val="0"/>
    <w:rPr>
      <w:rFonts w:hint="default" w:ascii="Times New Roman" w:hAnsi="Times New Roman" w:cs="Times New Roman"/>
      <w:color w:val="FF0000"/>
      <w:sz w:val="18"/>
      <w:szCs w:val="18"/>
      <w:u w:val="none"/>
    </w:rPr>
  </w:style>
  <w:style w:type="paragraph" w:customStyle="1" w:styleId="1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7939</Words>
  <Characters>8308</Characters>
  <Lines>21</Lines>
  <Paragraphs>6</Paragraphs>
  <TotalTime>21</TotalTime>
  <ScaleCrop>false</ScaleCrop>
  <LinksUpToDate>false</LinksUpToDate>
  <CharactersWithSpaces>8476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2017-03-28T06:41:00Z</dcterms:created>
  <dc:creator>User</dc:creator>
  <cp:lastModifiedBy>陈文虎</cp:lastModifiedBy>
  <cp:lastPrinted>2022-04-24T03:34:00Z</cp:lastPrinted>
  <dcterms:modified xsi:type="dcterms:W3CDTF">2022-11-03T06:03:39Z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70E6AE8FFAC94069AC15BA90CAD2B5A6</vt:lpwstr>
  </property>
</Properties>
</file>