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rPr>
          <w:rFonts w:hint="default" w:ascii="黑体" w:hAnsi="黑体" w:eastAsia="黑体" w:cs="黑体"/>
          <w:color w:val="auto"/>
          <w:spacing w:val="0"/>
          <w:sz w:val="32"/>
          <w:szCs w:val="32"/>
          <w:highlight w:val="none"/>
          <w:shd w:val="clear" w:color="auto" w:fill="auto"/>
          <w:lang w:val="en-US" w:eastAsia="zh-CN"/>
        </w:rPr>
      </w:pPr>
      <w:r>
        <w:rPr>
          <w:rFonts w:hint="eastAsia" w:ascii="黑体" w:hAnsi="黑体" w:eastAsia="黑体" w:cs="黑体"/>
          <w:color w:val="auto"/>
          <w:spacing w:val="0"/>
          <w:sz w:val="32"/>
          <w:szCs w:val="32"/>
          <w:highlight w:val="none"/>
          <w:shd w:val="clear" w:color="auto" w:fill="auto"/>
        </w:rPr>
        <w:t>附件</w:t>
      </w:r>
    </w:p>
    <w:p>
      <w:pPr>
        <w:shd w:val="clear"/>
        <w:spacing w:line="560" w:lineRule="exact"/>
        <w:jc w:val="center"/>
        <w:rPr>
          <w:rFonts w:hint="eastAsia" w:ascii="方正小标宋简体" w:hAnsi="方正小标宋简体" w:eastAsia="方正小标宋简体" w:cs="方正小标宋简体"/>
          <w:color w:val="auto"/>
          <w:spacing w:val="0"/>
          <w:sz w:val="44"/>
          <w:szCs w:val="44"/>
          <w:highlight w:val="none"/>
          <w:shd w:val="clear" w:color="auto" w:fill="auto"/>
        </w:rPr>
      </w:pPr>
      <w:r>
        <w:rPr>
          <w:rFonts w:hint="eastAsia" w:ascii="方正小标宋简体" w:hAnsi="方正小标宋简体" w:eastAsia="方正小标宋简体" w:cs="方正小标宋简体"/>
          <w:color w:val="auto"/>
          <w:spacing w:val="0"/>
          <w:sz w:val="44"/>
          <w:szCs w:val="44"/>
          <w:highlight w:val="none"/>
          <w:shd w:val="clear" w:color="auto" w:fill="auto"/>
        </w:rPr>
        <w:t>健康长沙县行动考核指标框架</w:t>
      </w:r>
      <w:bookmarkStart w:id="0" w:name="_GoBack"/>
      <w:bookmarkEnd w:id="0"/>
    </w:p>
    <w:p>
      <w:pPr>
        <w:pStyle w:val="2"/>
        <w:shd w:val="clear"/>
        <w:rPr>
          <w:rFonts w:hint="eastAsia"/>
          <w:color w:val="auto"/>
          <w:highlight w:val="none"/>
          <w:shd w:val="clear" w:color="auto" w:fill="auto"/>
        </w:rPr>
      </w:pPr>
    </w:p>
    <w:tbl>
      <w:tblPr>
        <w:tblStyle w:val="3"/>
        <w:tblW w:w="8357" w:type="dxa"/>
        <w:jc w:val="center"/>
        <w:tblLayout w:type="autofit"/>
        <w:tblCellMar>
          <w:top w:w="0" w:type="dxa"/>
          <w:left w:w="0" w:type="dxa"/>
          <w:bottom w:w="0" w:type="dxa"/>
          <w:right w:w="0" w:type="dxa"/>
        </w:tblCellMar>
      </w:tblPr>
      <w:tblGrid>
        <w:gridCol w:w="559"/>
        <w:gridCol w:w="4102"/>
        <w:gridCol w:w="953"/>
        <w:gridCol w:w="1407"/>
        <w:gridCol w:w="1336"/>
      </w:tblGrid>
      <w:tr>
        <w:tblPrEx>
          <w:tblCellMar>
            <w:top w:w="0" w:type="dxa"/>
            <w:left w:w="0" w:type="dxa"/>
            <w:bottom w:w="0" w:type="dxa"/>
            <w:right w:w="0" w:type="dxa"/>
          </w:tblCellMar>
        </w:tblPrEx>
        <w:trPr>
          <w:trHeight w:val="516" w:hRule="atLeast"/>
          <w:tblHeader/>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序号</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指标名称</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基期水平</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2022年目标值</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黑体" w:hAnsi="黑体" w:eastAsia="黑体" w:cs="黑体"/>
                <w:color w:val="auto"/>
                <w:spacing w:val="0"/>
                <w:sz w:val="21"/>
                <w:szCs w:val="21"/>
                <w:highlight w:val="none"/>
                <w:shd w:val="clear" w:color="auto" w:fill="auto"/>
              </w:rPr>
            </w:pPr>
            <w:r>
              <w:rPr>
                <w:rFonts w:hint="eastAsia" w:ascii="黑体" w:hAnsi="黑体" w:eastAsia="黑体" w:cs="黑体"/>
                <w:color w:val="auto"/>
                <w:spacing w:val="0"/>
                <w:kern w:val="0"/>
                <w:sz w:val="21"/>
                <w:szCs w:val="21"/>
                <w:highlight w:val="none"/>
                <w:shd w:val="clear" w:color="auto" w:fill="auto"/>
                <w:lang w:bidi="ar"/>
              </w:rPr>
              <w:t>牵头单位</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人均预期寿命(岁)</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80.5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持续改善</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婴儿死亡率(‰)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2.1</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持续改善</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5岁以下儿童死亡率(‰)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4.2</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持续改善</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孕产妇死亡率(1/10万)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14</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持续改善</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13"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城乡居民达到《国民体质测定标准》合格以上的人数比例(％)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eastAsia="zh-CN"/>
              </w:rPr>
            </w:pPr>
            <w:r>
              <w:rPr>
                <w:rFonts w:hint="eastAsia" w:ascii="仿宋_GB2312" w:hAnsi="仿宋_GB2312" w:eastAsia="仿宋_GB2312" w:cs="仿宋_GB2312"/>
                <w:color w:val="auto"/>
                <w:spacing w:val="0"/>
                <w:kern w:val="0"/>
                <w:sz w:val="21"/>
                <w:szCs w:val="21"/>
                <w:highlight w:val="none"/>
                <w:shd w:val="clear" w:color="auto" w:fill="auto"/>
                <w:lang w:bidi="ar"/>
              </w:rPr>
              <w:t>≥9</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县文旅局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6</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居民健康素养水平(％)</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≥32</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经常参加体育锻炼人数比例(％)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37</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≥45</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县文旅局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8</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重大慢性病过早死亡率(％)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15.57</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9</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每千常住人口执业(助理)医师数(人)</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3.85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3.88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42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10</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个人卫生支出占卫生总费用的比重(％)</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29"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11</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建立并完善健康科普专家库和资源库，构建健康科普知识发布和传播机制</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实现</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4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12</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建立医疗机构和医务人员开展健康教育和健康促进的绩效考核机制</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实现</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13</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产前筛查率(％)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70</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bidi="ar"/>
              </w:rPr>
              <w:t>≥7</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14</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新生儿遗传代谢性疾病筛查率(％)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85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≥98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15</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农村适龄妇女宫颈癌和乳腺癌筛查覆盖率(％)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65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≥80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16</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学生体质健康标准达标优良率(％)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41</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58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17</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符合要求的中小学体育和健康教育课程开课率(％)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100</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100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58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18</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中小学生每天校内体育活动时间(小时)</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1296"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19</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寄宿制中小学校或600名学生以上的非寄宿制中小学校配备专职卫生专业技术人员、600名学生以下的非寄宿制中小学校配备专兼职保健教师或卫生专业技术人员的比例(％)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30</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58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20</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配备专兼职心理健康工作人员的中小学校比例(％)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80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县教育局</w:t>
            </w:r>
          </w:p>
        </w:tc>
      </w:tr>
      <w:tr>
        <w:tblPrEx>
          <w:tblCellMar>
            <w:top w:w="0" w:type="dxa"/>
            <w:left w:w="0" w:type="dxa"/>
            <w:bottom w:w="0" w:type="dxa"/>
            <w:right w:w="0" w:type="dxa"/>
          </w:tblCellMar>
        </w:tblPrEx>
        <w:trPr>
          <w:trHeight w:val="67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21</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接尘工龄不足5年的劳动者新发尘肺病报告例数占年度报告总例数比例(％)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5"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22</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二级以上综合性医院设老年医学科比例(%)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33</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23</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高血压患者规范管理率(％)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74.34</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val="en-US" w:eastAsia="zh-CN" w:bidi="ar"/>
              </w:rPr>
            </w:pPr>
            <w:r>
              <w:rPr>
                <w:rFonts w:hint="eastAsia" w:ascii="仿宋_GB2312" w:hAnsi="仿宋_GB2312" w:eastAsia="仿宋_GB2312" w:cs="仿宋_GB2312"/>
                <w:color w:val="auto"/>
                <w:spacing w:val="0"/>
                <w:kern w:val="0"/>
                <w:sz w:val="21"/>
                <w:szCs w:val="21"/>
                <w:highlight w:val="none"/>
                <w:shd w:val="clear" w:color="auto" w:fill="auto"/>
                <w:lang w:bidi="ar"/>
              </w:rPr>
              <w:t>≥</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78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24</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糖尿病患者规范管理率(％)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76.91</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val="en-US" w:eastAsia="zh-CN" w:bidi="ar"/>
              </w:rPr>
            </w:pPr>
            <w:r>
              <w:rPr>
                <w:rFonts w:hint="eastAsia" w:ascii="仿宋_GB2312" w:hAnsi="仿宋_GB2312" w:eastAsia="仿宋_GB2312" w:cs="仿宋_GB2312"/>
                <w:color w:val="auto"/>
                <w:spacing w:val="0"/>
                <w:kern w:val="0"/>
                <w:sz w:val="21"/>
                <w:szCs w:val="21"/>
                <w:highlight w:val="none"/>
                <w:shd w:val="clear" w:color="auto" w:fill="auto"/>
                <w:lang w:bidi="ar"/>
              </w:rPr>
              <w:t>≥</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78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822"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25</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乡镇卫生院、社区卫生服务中心提供中医非药物疗法的比例(％)，村卫生室提供中医非药物疗法的比例(％)</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100,70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97"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26</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以乡镇(街道)为单位适龄儿童免疫规划疫苗接种率(％)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lang w:val="en-US" w:eastAsia="zh-CN"/>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95</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≥95</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18"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eastAsia="zh-CN" w:bidi="ar"/>
              </w:rPr>
              <w:t>2</w:t>
            </w:r>
            <w:r>
              <w:rPr>
                <w:rFonts w:hint="eastAsia" w:ascii="仿宋_GB2312" w:hAnsi="仿宋_GB2312" w:eastAsia="仿宋_GB2312" w:cs="仿宋_GB2312"/>
                <w:color w:val="auto"/>
                <w:spacing w:val="0"/>
                <w:kern w:val="0"/>
                <w:sz w:val="21"/>
                <w:szCs w:val="21"/>
                <w:highlight w:val="none"/>
                <w:shd w:val="clear" w:color="auto" w:fill="auto"/>
                <w:lang w:val="en-US" w:eastAsia="zh-CN" w:bidi="ar"/>
              </w:rPr>
              <w:t>7</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5岁以下儿童生长迟缓率（%）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w:t>
            </w:r>
            <w:r>
              <w:rPr>
                <w:rFonts w:hint="eastAsia" w:ascii="仿宋_GB2312" w:hAnsi="仿宋_GB2312" w:eastAsia="仿宋_GB2312" w:cs="仿宋_GB2312"/>
                <w:color w:val="auto"/>
                <w:spacing w:val="0"/>
                <w:kern w:val="0"/>
                <w:sz w:val="21"/>
                <w:szCs w:val="21"/>
                <w:highlight w:val="none"/>
                <w:shd w:val="clear" w:color="auto" w:fill="auto"/>
                <w:lang w:eastAsia="zh-CN" w:bidi="ar"/>
              </w:rPr>
              <w:t>5</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29"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28</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居民心理健康素养逐步提升（%），心理相关疾病发生的上升趋势减缓</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≥20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80"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29</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心脑血管疾病死亡率（*/10万）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313.06</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298</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534"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30</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总体癌症5年生存率（%）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43.3</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13"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31</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70岁及以下人群慢性呼吸系统疾病死亡率（*/10万）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sz w:val="21"/>
                <w:szCs w:val="21"/>
                <w:highlight w:val="none"/>
                <w:shd w:val="clear" w:color="auto" w:fill="auto"/>
              </w:rPr>
              <w:t>9.8</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Style w:val="5"/>
                <w:rFonts w:hint="eastAsia" w:ascii="仿宋_GB2312" w:hAnsi="仿宋_GB2312" w:eastAsia="仿宋_GB2312" w:cs="仿宋_GB2312"/>
                <w:color w:val="auto"/>
                <w:spacing w:val="0"/>
                <w:sz w:val="21"/>
                <w:szCs w:val="21"/>
                <w:highlight w:val="none"/>
                <w:shd w:val="clear" w:color="auto" w:fill="auto"/>
                <w:lang w:bidi="ar"/>
              </w:rPr>
              <w:t>≤8.7</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706"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32</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全县血吸虫病维持消除状态，确保无疫情反弹</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已消除</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维持消除状态</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13"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33</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肺结核发病率（1/10万）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Style w:val="5"/>
                <w:rFonts w:hint="eastAsia" w:ascii="仿宋_GB2312" w:hAnsi="仿宋_GB2312" w:eastAsia="仿宋_GB2312" w:cs="仿宋_GB2312"/>
                <w:color w:val="auto"/>
                <w:spacing w:val="0"/>
                <w:sz w:val="21"/>
                <w:szCs w:val="21"/>
                <w:highlight w:val="none"/>
                <w:shd w:val="clear" w:color="auto" w:fill="auto"/>
                <w:lang w:bidi="ar"/>
              </w:rPr>
              <w:t>≤50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县卫健局</w:t>
            </w:r>
          </w:p>
        </w:tc>
      </w:tr>
      <w:tr>
        <w:tblPrEx>
          <w:tblCellMar>
            <w:top w:w="0" w:type="dxa"/>
            <w:left w:w="0" w:type="dxa"/>
            <w:bottom w:w="0" w:type="dxa"/>
            <w:right w:w="0" w:type="dxa"/>
          </w:tblCellMar>
        </w:tblPrEx>
        <w:trPr>
          <w:trHeight w:val="613"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34</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艾滋病治疗率（%）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≥90%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sz w:val="21"/>
                <w:szCs w:val="21"/>
                <w:highlight w:val="none"/>
                <w:shd w:val="clear" w:color="auto" w:fill="auto"/>
              </w:rPr>
              <w:t>县卫健局</w:t>
            </w:r>
          </w:p>
        </w:tc>
      </w:tr>
      <w:tr>
        <w:tblPrEx>
          <w:tblCellMar>
            <w:top w:w="0" w:type="dxa"/>
            <w:left w:w="0" w:type="dxa"/>
            <w:bottom w:w="0" w:type="dxa"/>
            <w:right w:w="0" w:type="dxa"/>
          </w:tblCellMar>
        </w:tblPrEx>
        <w:trPr>
          <w:trHeight w:val="856" w:hRule="atLeast"/>
          <w:jc w:val="center"/>
        </w:trPr>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val="en-US" w:eastAsia="zh-CN" w:bidi="ar"/>
              </w:rPr>
              <w:t>35</w:t>
            </w:r>
          </w:p>
        </w:tc>
        <w:tc>
          <w:tcPr>
            <w:tcW w:w="4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left"/>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kern w:val="0"/>
                <w:sz w:val="21"/>
                <w:szCs w:val="21"/>
                <w:highlight w:val="none"/>
                <w:shd w:val="clear" w:color="auto" w:fill="auto"/>
                <w:lang w:bidi="ar"/>
              </w:rPr>
              <w:t>艾滋病人群感染率（1/10万）</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Fonts w:hint="eastAsia" w:ascii="仿宋_GB2312" w:hAnsi="仿宋_GB2312" w:eastAsia="仿宋_GB2312" w:cs="仿宋_GB2312"/>
                <w:color w:val="auto"/>
                <w:spacing w:val="0"/>
                <w:kern w:val="0"/>
                <w:sz w:val="21"/>
                <w:szCs w:val="21"/>
                <w:highlight w:val="none"/>
                <w:shd w:val="clear" w:color="auto" w:fill="auto"/>
                <w:lang w:bidi="ar"/>
              </w:rPr>
              <w:t>——</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rPr>
                <w:rFonts w:hint="eastAsia" w:ascii="仿宋_GB2312" w:hAnsi="仿宋_GB2312" w:eastAsia="仿宋_GB2312" w:cs="仿宋_GB2312"/>
                <w:color w:val="auto"/>
                <w:spacing w:val="0"/>
                <w:sz w:val="21"/>
                <w:szCs w:val="21"/>
                <w:highlight w:val="none"/>
                <w:shd w:val="clear" w:color="auto" w:fill="auto"/>
              </w:rPr>
            </w:pPr>
            <w:r>
              <w:rPr>
                <w:rStyle w:val="5"/>
                <w:rFonts w:hint="eastAsia" w:ascii="仿宋_GB2312" w:hAnsi="仿宋_GB2312" w:eastAsia="仿宋_GB2312" w:cs="仿宋_GB2312"/>
                <w:color w:val="auto"/>
                <w:spacing w:val="0"/>
                <w:sz w:val="21"/>
                <w:szCs w:val="21"/>
                <w:highlight w:val="none"/>
                <w:shd w:val="clear" w:color="auto" w:fill="auto"/>
                <w:lang w:bidi="ar"/>
              </w:rPr>
              <w:t>≤150</w:t>
            </w:r>
          </w:p>
        </w:tc>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hd w:val="clear"/>
              <w:spacing w:line="280" w:lineRule="exact"/>
              <w:jc w:val="center"/>
              <w:textAlignment w:val="center"/>
              <w:rPr>
                <w:rFonts w:hint="eastAsia" w:ascii="仿宋_GB2312" w:hAnsi="仿宋_GB2312" w:eastAsia="仿宋_GB2312" w:cs="仿宋_GB2312"/>
                <w:color w:val="auto"/>
                <w:spacing w:val="0"/>
                <w:kern w:val="0"/>
                <w:sz w:val="21"/>
                <w:szCs w:val="21"/>
                <w:highlight w:val="none"/>
                <w:shd w:val="clear" w:color="auto" w:fill="auto"/>
                <w:lang w:bidi="ar"/>
              </w:rPr>
            </w:pPr>
            <w:r>
              <w:rPr>
                <w:rFonts w:hint="eastAsia" w:ascii="仿宋_GB2312" w:hAnsi="仿宋_GB2312" w:eastAsia="仿宋_GB2312" w:cs="仿宋_GB2312"/>
                <w:color w:val="auto"/>
                <w:spacing w:val="0"/>
                <w:sz w:val="21"/>
                <w:szCs w:val="21"/>
                <w:highlight w:val="none"/>
                <w:shd w:val="clear" w:color="auto" w:fill="auto"/>
              </w:rPr>
              <w:t>县卫健局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24CE4"/>
    <w:rsid w:val="0EE24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line="360" w:lineRule="auto"/>
      <w:ind w:firstLine="200"/>
    </w:pPr>
    <w:rPr>
      <w:sz w:val="28"/>
    </w:rPr>
  </w:style>
  <w:style w:type="character" w:customStyle="1" w:styleId="5">
    <w:name w:val="font4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2021-12-27T02:14:00Z</dcterms:created>
  <dc:creator>柳柳子</dc:creator>
  <cp:lastModifiedBy>柳柳子</cp:lastModifiedBy>
  <dcterms:modified xsi:type="dcterms:W3CDTF">2021-12-27T02:14:38Z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9ECD25AF618E444F848FE4D92A314ECD</vt:lpwstr>
  </property>
</Properties>
</file>