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35" w:type="dxa"/>
        <w:tblInd w:w="-24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2696"/>
        <w:gridCol w:w="1095"/>
        <w:gridCol w:w="3270"/>
        <w:gridCol w:w="1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135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2023年地方政府一般债券资金铺排计划表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  单位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项目内容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安排资金  （万元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金井镇2023年第二批小型水库维修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金井镇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跃进水库副坝坡维修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金井镇2023年小型水库白蚁防治服务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金井镇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金井镇27座小型水库白蚁防治服务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果园镇2023年第二批小型水库维修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果园镇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曾婆塘水库内坡及排水沟维修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黄兴镇2023年第二批小型水库维修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黄兴镇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珠塘水库泄洪渠维修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北山镇2023年第二批小型水库维修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北山镇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白溪冲水库防汛公路维修、先锋水库增设上坝公路、丰梅岭泄洪渠维修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江背镇2023年第二批小型水库维修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江背镇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梅花塘水库启闭室周边完善排水设施，国庆水库坝顶维修、增设防汛砂石池，东庄水库原管理用房维修、坝坡维修等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高桥镇2023年第二批小型水库维修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高桥镇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岳龙水库溢洪道（高涵）灌浆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福临镇2023年第二批小型水库维修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福临镇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元冲水库引水渠维修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春华镇2023年第二批小型水库维修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春华镇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桑梓水库维修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开慧镇2023年第二批小型水库维修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开慧镇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飘峰水库引水机台维修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</w:trPr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现代化水库运行管理矩阵试点水库/先行区域建设实施方案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长沙县水利局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现代化水库运行管理矩阵先行区域建设实施方案、现代化水库运行管理矩阵试点水库（桐仁桥水库、汀家港水库、全心水库）建设实施方案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hNGI4ZTA3Y2U5Njg2ZjRmOGY0NzIyNDgzZTYwYTQifQ=="/>
    <w:docVar w:name="KSO_WPS_MARK_KEY" w:val="8d0e2eb4-2e21-4446-bd56-19c83f366722"/>
  </w:docVars>
  <w:rsids>
    <w:rsidRoot w:val="754A1EE6"/>
    <w:rsid w:val="0F9D2C6D"/>
    <w:rsid w:val="754A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widowControl/>
      <w:spacing w:line="360" w:lineRule="auto"/>
      <w:ind w:firstLine="936" w:firstLineChars="200"/>
      <w:jc w:val="left"/>
    </w:pPr>
    <w:rPr>
      <w:rFonts w:eastAsia="仿宋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498</Words>
  <Characters>544</Characters>
  <Lines>0</Lines>
  <Paragraphs>0</Paragraphs>
  <TotalTime>1</TotalTime>
  <ScaleCrop>false</ScaleCrop>
  <LinksUpToDate>false</LinksUpToDate>
  <CharactersWithSpaces>548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2024-01-22T07:31:00Z</dcterms:created>
  <dc:creator>缪创</dc:creator>
  <cp:lastModifiedBy>缪创</cp:lastModifiedBy>
  <dcterms:modified xsi:type="dcterms:W3CDTF">2024-01-22T07:34:24Z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C7D3C8DA95544ED39FC307629399E57E</vt:lpwstr>
  </property>
</Properties>
</file>