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highlight w:val="none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</w:rPr>
        <w:t>202</w:t>
      </w:r>
      <w:r>
        <w:rPr>
          <w:rFonts w:hint="default" w:ascii="方正小标宋简体" w:hAnsi="Times New Roman" w:eastAsia="方正小标宋简体" w:cs="Times New Roman"/>
          <w:color w:val="000000"/>
          <w:sz w:val="44"/>
          <w:szCs w:val="44"/>
          <w:highlight w:val="none"/>
          <w:lang w:val="en-US"/>
        </w:rPr>
        <w:t>3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</w:rPr>
        <w:t>年度内部审计项目计划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</w:rPr>
        <w:t>（3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一、镇人民政府、街道办事处实施项目（18个）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8个镇（街道）下属村（社区）项目各1个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二、县直部门单位实施项目（12个）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县卫健局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县公安局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县自然资源局1个部门下属单位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县行政执法局1个部门下属单位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县人社局1个部门下属单位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县农业局1个部门下属单位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县市监局1个部门下属单位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三、县属国有企业实施项目（3个）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湖南自由贸易试验区临空产业投资集团有限公司下属子公司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长沙县星城控股集团有限公司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下属子公司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长沙县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水业控股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集团有限公司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下属子公司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1个</w:t>
      </w:r>
    </w:p>
    <w:p>
      <w:pPr>
        <w:spacing w:line="560" w:lineRule="exact"/>
        <w:ind w:right="9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</w:p>
    <w:p>
      <w:pPr>
        <w:spacing w:line="560" w:lineRule="exact"/>
        <w:ind w:right="900"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相关要求：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各单位收到2023年内部审计项目计划后，于2023年4月底前将确定开展内部审计的下属单位名称报送至县审计局备案。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ZmJhZGJjZGNkNDA3ZjJkM2FkNGQ4ZDU4ZGVkNDYifQ=="/>
  </w:docVars>
  <w:rsids>
    <w:rsidRoot w:val="426376CB"/>
    <w:rsid w:val="426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2023-04-24T08:56:00Z</dcterms:created>
  <dc:creator>周梦哲</dc:creator>
  <cp:lastModifiedBy>周梦哲</cp:lastModifiedBy>
  <dcterms:modified xsi:type="dcterms:W3CDTF">2023-04-24T08:56:46Z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07CA7617192D4ADE934DB58CEB1417D7</vt:lpwstr>
  </property>
</Properties>
</file>