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仿宋_GB2312" w:hAnsi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_GB2312" w:hAnsi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spacing w:before="156" w:beforeLines="50" w:after="156" w:afterLines="50"/>
        <w:jc w:val="center"/>
        <w:rPr>
          <w:rFonts w:ascii="方正小标宋简体" w:eastAsia="方正小标宋简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长沙县2022年经济社会发展计划主要指标完成情况</w:t>
      </w:r>
    </w:p>
    <w:bookmarkEnd w:id="0"/>
    <w:tbl>
      <w:tblPr>
        <w:tblStyle w:val="10"/>
        <w:tblW w:w="4906" w:type="pct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9"/>
        <w:gridCol w:w="3689"/>
        <w:gridCol w:w="2238"/>
        <w:gridCol w:w="210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bidi="ar"/>
              </w:rPr>
              <w:t>主要指标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bidi="ar"/>
              </w:rPr>
              <w:t>2022年计划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bidi="ar"/>
              </w:rPr>
              <w:t>2022年完成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地区生产总值增速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8%以上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4.5%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一产增加值增速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4.5%以上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3.5%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规模以上工业增加值增速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9%以上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6.9%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服务业增加值增速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8%以上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3.3%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固定资产投资增速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8%以上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9.1%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社会消费品零售总额增速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8%以上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3.1%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进出口总额增速（预计）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15%以上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25.6%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地方一般公共预算收入增速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8%以上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8.18%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研发经费投入总量增速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13%以上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16.12%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6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居民人均可支配收入增速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与经济增长基本同步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高于GDP增速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城镇新增就业人数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1.7万以上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1.88万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城镇调查失业率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5.5%以内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5.5%以内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粮食总产量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10亿斤以上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10.09亿斤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4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0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能耗双控、减排任务</w:t>
            </w:r>
          </w:p>
        </w:tc>
        <w:tc>
          <w:tcPr>
            <w:tcW w:w="126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完成市定目标</w:t>
            </w:r>
          </w:p>
        </w:tc>
        <w:tc>
          <w:tcPr>
            <w:tcW w:w="1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达到市定目标</w:t>
            </w:r>
          </w:p>
        </w:tc>
      </w:tr>
    </w:tbl>
    <w:p>
      <w:pPr>
        <w:pStyle w:val="7"/>
        <w:rPr>
          <w:rFonts w:ascii="仿宋_GB2312" w:hAnsi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3"/>
          <w:rFonts w:eastAsia="宋体" w:cs="宋体"/>
          <w:kern w:val="0"/>
          <w:sz w:val="21"/>
          <w:szCs w:val="21"/>
          <w:lang w:bidi="ar"/>
        </w:rPr>
        <w:br w:type="page"/>
      </w:r>
      <w:r>
        <w:rPr>
          <w:rFonts w:ascii="仿宋_GB2312" w:hAnsi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spacing w:before="156" w:beforeLines="50" w:after="156" w:afterLines="50"/>
        <w:jc w:val="center"/>
        <w:rPr>
          <w:rFonts w:ascii="方正小标宋简体" w:eastAsia="方正小标宋简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长沙县2023年经济社会发展计划主要预期指标建议</w:t>
      </w:r>
    </w:p>
    <w:tbl>
      <w:tblPr>
        <w:tblStyle w:val="10"/>
        <w:tblW w:w="4913" w:type="pct"/>
        <w:jc w:val="center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54"/>
        <w:gridCol w:w="4254"/>
        <w:gridCol w:w="3351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bidi="ar"/>
              </w:rPr>
              <w:t>主要指标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b/>
                <w:bCs/>
                <w:snapToGrid w:val="0"/>
                <w:kern w:val="0"/>
                <w:sz w:val="28"/>
                <w:szCs w:val="28"/>
                <w:lang w:bidi="ar"/>
              </w:rPr>
              <w:t>2023年目标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地区生产总值增速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7%以上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规模以上工业增加值增速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8%以上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固定资产投资增速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7.5%以上，力争8%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社会消费品零售总额增速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7%以上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地方一般公共预算收入增速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8%以上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进出口总额增速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15%以上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研发经费投入增速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13"/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13%以上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Style w:val="13"/>
                <w:rFonts w:ascii="宋体" w:hAnsi="宋体" w:cs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城镇新增就业人数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1.8万人以上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城镇调查失业率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5.5%以内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居民人均可支配收入增速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与经济增长同步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粮食总产量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10亿斤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napToGrid w:val="0"/>
                <w:kern w:val="0"/>
                <w:sz w:val="28"/>
                <w:szCs w:val="28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40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减排任务</w:t>
            </w:r>
          </w:p>
        </w:tc>
        <w:tc>
          <w:tcPr>
            <w:tcW w:w="18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/>
                <w:snapToGrid w:val="0"/>
                <w:kern w:val="0"/>
                <w:sz w:val="28"/>
                <w:szCs w:val="28"/>
                <w:lang w:bidi="ar"/>
              </w:rPr>
            </w:pPr>
            <w:r>
              <w:rPr>
                <w:rStyle w:val="13"/>
                <w:rFonts w:hint="eastAsia" w:ascii="宋体" w:hAnsi="宋体" w:cs="宋体"/>
                <w:snapToGrid w:val="0"/>
                <w:kern w:val="0"/>
                <w:sz w:val="28"/>
                <w:szCs w:val="28"/>
                <w:lang w:bidi="ar"/>
              </w:rPr>
              <w:t>达省定目标</w:t>
            </w:r>
          </w:p>
        </w:tc>
      </w:tr>
    </w:tbl>
    <w:p>
      <w:r>
        <w:br w:type="page"/>
      </w:r>
    </w:p>
    <w:p>
      <w:pPr>
        <w:pStyle w:val="12"/>
        <w:adjustRightInd w:val="0"/>
        <w:snapToGrid w:val="0"/>
        <w:spacing w:after="405" w:afterLines="130" w:line="536" w:lineRule="exact"/>
        <w:ind w:firstLine="0" w:firstLineChars="0"/>
        <w:jc w:val="center"/>
        <w:rPr>
          <w:rFonts w:ascii="黑体" w:hAnsi="黑体" w:eastAsia="黑体" w:cs="方正小标宋简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snapToGrid w:val="0"/>
          <w:kern w:val="0"/>
          <w:sz w:val="32"/>
          <w:szCs w:val="32"/>
        </w:rPr>
        <w:t>名词解释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1.三高四新：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打造国家重要先进制造业、具有核心竞争力的科技创新、内陆地区改革开放的高地；在推动高质量发展上闯出新路子，在构建新发展格局中展现新作为，在推动中部地区崛起和长江经济带发展中彰显新担当，奋力谱写新时代坚持和发展中国特色社会主义的湖南新篇章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2.三大支撑八项重点：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“三大支撑”，即电力、算力、动力；“八项重点”，即市场主体倍增工程、产业发展“万千百”工程、新增规模以上工业企业行动、企业上市“金芙蓉”跃升行动，以及优化营商环境、“五好”园区建设、“四个十大”、湘商回归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3.四个年：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即项目建设提速年、招商引资提效年、营商环境提升年、城乡品质提档年。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4.“1345”发展思路：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“1”即是要持续吹响“三十而立再出发，二次创业攀新高”这一战略号角，始终聚焦“率先建设共同富裕先行区”这一战略愿景，紧紧围绕率先打造“三个高地”、全面建设中国式现代化先行区这一战略目标；3即是要坚决落实“牢记嘱托，创新实干，勇攀高峰”三大战略要求，始终坚持“不断拓展新空间、发展新产业、争创新优势”三条战略路径；“4”即是要坚定不移推进市委赋予的打造“四区”战略任务，坚持不懈强力推进“四个年”行动战略抓手；“5”即是要筑牢“产业高质量发展、城乡高品质建设、开放高层次推进、社会高效能治理、民生高水平保障”五大战略支撑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5.四区：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即“三高四新”引领区、融城发展创新区、乡村振兴标杆区、文旅融合示范区。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6.“五好”园区：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即规划定位好、创新平台好、产业项目好、体制机制好、发展形象好的园区。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7.“专精特新”企业：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即具备专业化、精细化、特色化、新颖化特征的企业。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8.“113+X”项制度试点：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“113”即《中国（湖南）自贸试验区长沙片区实施方案》在湖南省实施方案121项改革事项框架内新提出113条体现“长沙元素”的创新举措；“X”即经开片区、临空片区、会展片区探索自主创新试点事项。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9.RCEP：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区域全面经济伙伴关系，即由东盟十国发起，邀请中国、日本、韩国、澳大利亚、新西兰共同参与（“10+5”），通过削减关税及非关税壁垒，建立15国统一市场的自由贸易协定。</w:t>
      </w:r>
    </w:p>
    <w:p>
      <w:pPr>
        <w:overflowPunct w:val="0"/>
        <w:adjustRightInd w:val="0"/>
        <w:snapToGrid w:val="0"/>
        <w:spacing w:line="510" w:lineRule="exact"/>
        <w:ind w:firstLine="538" w:firstLineChars="200"/>
        <w:rPr>
          <w:rFonts w:ascii="仿宋_GB2312" w:hAnsi="楷体" w:eastAsia="仿宋_GB2312" w:cs="仿宋_GB2312"/>
          <w:snapToGrid w:val="0"/>
          <w:color w:val="000000"/>
          <w:spacing w:val="-6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spacing w:val="-6"/>
          <w:kern w:val="0"/>
          <w:sz w:val="28"/>
          <w:szCs w:val="28"/>
        </w:rPr>
        <w:t>10.三类500强：</w:t>
      </w:r>
      <w:r>
        <w:rPr>
          <w:rFonts w:hint="eastAsia" w:ascii="仿宋_GB2312" w:hAnsi="楷体" w:eastAsia="仿宋_GB2312" w:cs="仿宋_GB2312"/>
          <w:snapToGrid w:val="0"/>
          <w:color w:val="000000"/>
          <w:spacing w:val="-6"/>
          <w:kern w:val="0"/>
          <w:sz w:val="28"/>
          <w:szCs w:val="28"/>
        </w:rPr>
        <w:t>即世界财富500强、中国企业500强和民营企业500强。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.三带三抓两促进：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即带着责任和感情、带着目标和任务、带着政策和措施，抓调研、抓指导、抓服务，促进项目加快建设、促进企业生产。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.三区三线：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即农业空间、生态空间、城镇空间三种类型空间，以及分别对应划定的永久基本农田保护红线、生态保护红线、城镇开发边界三条控制线。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3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.四高：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即高标准、高技术、高产量、高品质。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4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.“四蓝”体系：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即蓝桶、蓝车、蓝屋、蓝岛体系。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5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.GEP：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即生态系统生产总值，指一定区域在一定时期内生态系统的产品与服务价值总和，是生态系统为人类福祉提供的产品和服务的经济价值总量。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6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.两山：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绿水青山就是金山银山。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7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.四进四查五到位强基保安行动：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即进农村、进社区、进企业、进单位；安全生产大排查、消防安全大排查、疫情防控大排查、社会稳定大排查；政策宣讲到位、隐患排查到位、矛盾化解到位、风险管控到位、依法处置到位。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8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.基层治理“五治”：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政治、自治、法治、德治、智治。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19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.“五好”教育：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即好学校、好校长、好班主任、好教师、好学生。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0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.三稳：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即稳增长、稳就业、稳物价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.发展六仗：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即经济增长主动仗、科技创新攻坚仗、优化发展环境持久仗、防范化解风险阻击仗、安全生产翻身仗、重点民生保障仗。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.十大行动：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有效投资扩容行动，招商引资突破行动，消费需求挖潜行动，产业链创新链供应链融合行动、“三力”支撑强化行动、对外开放拓展行动、交通物流畅达行动、营商环境领跑行动、市场主体培育行动、财税收入提效行动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3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.十个强县：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即教育强县、科技强县、人才强县、文体强县、制造强县、质量强县、开放强县、贸易强县、农业强县、中医药强县。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4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.七个星沙：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 xml:space="preserve">即数字星沙、法治星沙、健康星沙、美丽星沙、平安星沙、幸福星沙、清廉星沙。 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5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.十张答卷：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即项目建设、招商引资、改革开放、科技创新、共同富裕、营商环境、生态环保、城乡品质、风险防范、争先创优。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6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.“3T”产业：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即IT（新一代信息技术）、BT（生物技术及生命健康）、MT（新材料）。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7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.两基地、两标杆：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即全球高端装备制造业基地、具有核心竞争力的科技创新基地、园区改革开放标杆、一流营商环境标杆。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8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.1+3：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即松雅湖国际科学城+经开区、自贸临空区、自贸会展区。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29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.四个制高点：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即产业、技术、人才、平台。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3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0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.六大计划：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即创新生态优化、创新主体培育、创新平台建设、核心技术攻关、创新成果转化、创新人才集聚。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3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1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.一带一路：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</w:t>
      </w:r>
      <w:r>
        <w:fldChar w:fldCharType="begin"/>
      </w:r>
      <w:r>
        <w:instrText xml:space="preserve"> HYPERLINK "https://baike.baidu.com/item/%E4%B8%9D%E7%BB%B8%E4%B9%8B%E8%B7%AF%E7%BB%8F%E6%B5%8E%E5%B8%A6?fromModule=lemma_inlink" \t "https://baike.baidu.com/item/%E4%B8%80%E5%B8%A6%E4%B8%80%E8%B7%AF/_blank" </w:instrText>
      </w:r>
      <w:r>
        <w:fldChar w:fldCharType="separate"/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丝绸之路经济带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和</w:t>
      </w:r>
      <w:r>
        <w:fldChar w:fldCharType="begin"/>
      </w:r>
      <w:r>
        <w:instrText xml:space="preserve"> HYPERLINK "https://baike.baidu.com/item/21%E4%B8%96%E7%BA%AA%E6%B5%B7%E4%B8%8A%E4%B8%9D%E7%BB%B8%E4%B9%8B%E8%B7%AF?fromModule=lemma_inlink" \t "https://baike.baidu.com/item/%E4%B8%80%E5%B8%A6%E4%B8%80%E8%B7%AF/_blank" </w:instrText>
      </w:r>
      <w:r>
        <w:fldChar w:fldCharType="separate"/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21世纪海上丝绸之路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。</w:t>
      </w:r>
    </w:p>
    <w:p>
      <w:pPr>
        <w:overflowPunct w:val="0"/>
        <w:adjustRightInd w:val="0"/>
        <w:snapToGrid w:val="0"/>
        <w:spacing w:line="510" w:lineRule="exact"/>
        <w:ind w:firstLine="562" w:firstLineChars="200"/>
        <w:rPr>
          <w:rFonts w:ascii="仿宋_GB2312" w:hAnsi="楷体" w:eastAsia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3</w:t>
      </w:r>
      <w:r>
        <w:rPr>
          <w:rFonts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2</w:t>
      </w:r>
      <w:r>
        <w:rPr>
          <w:rFonts w:hint="eastAsia" w:ascii="楷体_GB2312" w:hAnsi="楷体" w:eastAsia="楷体_GB2312" w:cs="仿宋_GB2312"/>
          <w:b/>
          <w:snapToGrid w:val="0"/>
          <w:color w:val="000000"/>
          <w:kern w:val="0"/>
          <w:sz w:val="28"/>
          <w:szCs w:val="28"/>
        </w:rPr>
        <w:t>.“双五”工程：</w:t>
      </w:r>
      <w:r>
        <w:rPr>
          <w:rFonts w:hint="eastAsia" w:ascii="仿宋_GB2312" w:hAnsi="楷体" w:eastAsia="仿宋_GB2312" w:cs="仿宋_GB2312"/>
          <w:snapToGrid w:val="0"/>
          <w:color w:val="000000"/>
          <w:kern w:val="0"/>
          <w:sz w:val="28"/>
          <w:szCs w:val="28"/>
        </w:rPr>
        <w:t>即做大城区、做强园区、做优片区、做实县区、做靓社区（村）等“五区”建设，以及十个重大城市片区、十个重大引领性产业项目、十个重大科技创新标志性项目、十个重大基础设施项目、十个重大民生项目等“五个十大”项目建设。</w:t>
      </w:r>
    </w:p>
    <w:sectPr>
      <w:footerReference r:id="rId3" w:type="default"/>
      <w:pgSz w:w="11907" w:h="16443"/>
      <w:pgMar w:top="1531" w:right="1361" w:bottom="1418" w:left="1644" w:header="1134" w:footer="10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B3F4B2C-1BAD-484C-9ED3-88AB06C86FF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7864CC3-58E8-4287-8EE9-44782DAA9C3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280560F-BF1F-4D2C-A129-AA58E80696C3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472D35D-0BFC-44C2-98BD-08E1F0425A0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ADC4783-CFBE-4234-B7A5-17BB4BC0382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1"/>
        <w:szCs w:val="21"/>
      </w:rPr>
      <w:id w:val="1793700751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1 -</w:t>
        </w:r>
        <w:r>
          <w:rPr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4ZjZiOWI0OWMxNGU2YTFhMDBkZTQ3MDhiNTNmYWQifQ=="/>
  </w:docVars>
  <w:rsids>
    <w:rsidRoot w:val="79A56CF3"/>
    <w:rsid w:val="001A4B21"/>
    <w:rsid w:val="001D065C"/>
    <w:rsid w:val="002828CC"/>
    <w:rsid w:val="004139DD"/>
    <w:rsid w:val="00524F07"/>
    <w:rsid w:val="005C61E7"/>
    <w:rsid w:val="005C6E5B"/>
    <w:rsid w:val="005F731B"/>
    <w:rsid w:val="006F78C9"/>
    <w:rsid w:val="007679B2"/>
    <w:rsid w:val="00780CBE"/>
    <w:rsid w:val="007970FD"/>
    <w:rsid w:val="007F27CB"/>
    <w:rsid w:val="00887921"/>
    <w:rsid w:val="00BD1FC6"/>
    <w:rsid w:val="00C764B1"/>
    <w:rsid w:val="00CA2D22"/>
    <w:rsid w:val="00CA6B99"/>
    <w:rsid w:val="00D54D50"/>
    <w:rsid w:val="00E0670E"/>
    <w:rsid w:val="00E579EC"/>
    <w:rsid w:val="00FF1010"/>
    <w:rsid w:val="01213882"/>
    <w:rsid w:val="013F48C6"/>
    <w:rsid w:val="018874B3"/>
    <w:rsid w:val="02424211"/>
    <w:rsid w:val="025727E8"/>
    <w:rsid w:val="02693733"/>
    <w:rsid w:val="039E4B04"/>
    <w:rsid w:val="03D35490"/>
    <w:rsid w:val="03DB6DDA"/>
    <w:rsid w:val="04025E7E"/>
    <w:rsid w:val="04BC223F"/>
    <w:rsid w:val="05557F9E"/>
    <w:rsid w:val="0599432F"/>
    <w:rsid w:val="05A21435"/>
    <w:rsid w:val="07095418"/>
    <w:rsid w:val="07527CF9"/>
    <w:rsid w:val="07992EC0"/>
    <w:rsid w:val="08C90A87"/>
    <w:rsid w:val="08D4742C"/>
    <w:rsid w:val="09916392"/>
    <w:rsid w:val="0B2226D0"/>
    <w:rsid w:val="0BD66D46"/>
    <w:rsid w:val="0BDC6D23"/>
    <w:rsid w:val="0C7C2D33"/>
    <w:rsid w:val="0D712BB5"/>
    <w:rsid w:val="0DED6FC6"/>
    <w:rsid w:val="0E2A3550"/>
    <w:rsid w:val="0E652AC5"/>
    <w:rsid w:val="0E877C4D"/>
    <w:rsid w:val="0EAB758B"/>
    <w:rsid w:val="0F0207CC"/>
    <w:rsid w:val="0F0B14E3"/>
    <w:rsid w:val="0F3861C4"/>
    <w:rsid w:val="0F75060E"/>
    <w:rsid w:val="0FB436F8"/>
    <w:rsid w:val="10B642E6"/>
    <w:rsid w:val="10F62635"/>
    <w:rsid w:val="110C5A98"/>
    <w:rsid w:val="111451B1"/>
    <w:rsid w:val="11286567"/>
    <w:rsid w:val="11ED4175"/>
    <w:rsid w:val="125C471A"/>
    <w:rsid w:val="127557DC"/>
    <w:rsid w:val="13632EA4"/>
    <w:rsid w:val="140B5738"/>
    <w:rsid w:val="15113041"/>
    <w:rsid w:val="15712BD2"/>
    <w:rsid w:val="15D06CC3"/>
    <w:rsid w:val="16096967"/>
    <w:rsid w:val="1632562F"/>
    <w:rsid w:val="16E82A20"/>
    <w:rsid w:val="17430527"/>
    <w:rsid w:val="175446C4"/>
    <w:rsid w:val="175822B3"/>
    <w:rsid w:val="178444D4"/>
    <w:rsid w:val="19314B62"/>
    <w:rsid w:val="19EC2F73"/>
    <w:rsid w:val="1A400DC5"/>
    <w:rsid w:val="1ADC19CF"/>
    <w:rsid w:val="1B6C73D0"/>
    <w:rsid w:val="1BC06F9C"/>
    <w:rsid w:val="1BF10321"/>
    <w:rsid w:val="1C146550"/>
    <w:rsid w:val="1C5A3D5B"/>
    <w:rsid w:val="1C6D7F7E"/>
    <w:rsid w:val="1D444728"/>
    <w:rsid w:val="1DDD5F58"/>
    <w:rsid w:val="1E513E3A"/>
    <w:rsid w:val="1E5F3648"/>
    <w:rsid w:val="1F240CB5"/>
    <w:rsid w:val="1F700094"/>
    <w:rsid w:val="1F8E5E47"/>
    <w:rsid w:val="1FA31BDA"/>
    <w:rsid w:val="1FCF4454"/>
    <w:rsid w:val="20430934"/>
    <w:rsid w:val="204A3CAE"/>
    <w:rsid w:val="204C4020"/>
    <w:rsid w:val="217C0A1F"/>
    <w:rsid w:val="21CC0A0A"/>
    <w:rsid w:val="21D84771"/>
    <w:rsid w:val="22091A82"/>
    <w:rsid w:val="221943D6"/>
    <w:rsid w:val="22E744D4"/>
    <w:rsid w:val="23011062"/>
    <w:rsid w:val="239D53BB"/>
    <w:rsid w:val="23B02B18"/>
    <w:rsid w:val="23E636C3"/>
    <w:rsid w:val="23F30C56"/>
    <w:rsid w:val="23FB6E2D"/>
    <w:rsid w:val="26426630"/>
    <w:rsid w:val="267C12BA"/>
    <w:rsid w:val="268E3C29"/>
    <w:rsid w:val="26C76708"/>
    <w:rsid w:val="284B08BA"/>
    <w:rsid w:val="2856554E"/>
    <w:rsid w:val="287C0059"/>
    <w:rsid w:val="29F34558"/>
    <w:rsid w:val="2A967AB3"/>
    <w:rsid w:val="2BFA7026"/>
    <w:rsid w:val="2C160618"/>
    <w:rsid w:val="2C1C6345"/>
    <w:rsid w:val="2D35756A"/>
    <w:rsid w:val="2D5F0EBB"/>
    <w:rsid w:val="2DB15E0A"/>
    <w:rsid w:val="2E3F6F72"/>
    <w:rsid w:val="2EBD519A"/>
    <w:rsid w:val="30E66953"/>
    <w:rsid w:val="31186E60"/>
    <w:rsid w:val="319E66A5"/>
    <w:rsid w:val="31C667EF"/>
    <w:rsid w:val="329A50BF"/>
    <w:rsid w:val="32C45CAC"/>
    <w:rsid w:val="32D103B5"/>
    <w:rsid w:val="33134A9D"/>
    <w:rsid w:val="33D07DE5"/>
    <w:rsid w:val="34514E15"/>
    <w:rsid w:val="3481007D"/>
    <w:rsid w:val="36085F2D"/>
    <w:rsid w:val="367539AF"/>
    <w:rsid w:val="37697AB2"/>
    <w:rsid w:val="37B7599F"/>
    <w:rsid w:val="37DC7F27"/>
    <w:rsid w:val="38877E93"/>
    <w:rsid w:val="388F1043"/>
    <w:rsid w:val="38B60607"/>
    <w:rsid w:val="38FE3030"/>
    <w:rsid w:val="39E601F6"/>
    <w:rsid w:val="39F06F70"/>
    <w:rsid w:val="3A7A0592"/>
    <w:rsid w:val="3C965237"/>
    <w:rsid w:val="3CDD4036"/>
    <w:rsid w:val="3CE22DCE"/>
    <w:rsid w:val="3D280D87"/>
    <w:rsid w:val="3D2A6398"/>
    <w:rsid w:val="3D5642D8"/>
    <w:rsid w:val="3D57566E"/>
    <w:rsid w:val="3DE5715D"/>
    <w:rsid w:val="3E3821C6"/>
    <w:rsid w:val="3E6502E3"/>
    <w:rsid w:val="3EEA2F2A"/>
    <w:rsid w:val="407D19CD"/>
    <w:rsid w:val="409E3FCC"/>
    <w:rsid w:val="423029CE"/>
    <w:rsid w:val="42360234"/>
    <w:rsid w:val="42842744"/>
    <w:rsid w:val="434B5F61"/>
    <w:rsid w:val="436A4BBC"/>
    <w:rsid w:val="43D45F57"/>
    <w:rsid w:val="43E21A84"/>
    <w:rsid w:val="444D2855"/>
    <w:rsid w:val="449C4CC6"/>
    <w:rsid w:val="45230AC8"/>
    <w:rsid w:val="45DE640C"/>
    <w:rsid w:val="46090E04"/>
    <w:rsid w:val="46B1257F"/>
    <w:rsid w:val="46E10C14"/>
    <w:rsid w:val="48BD16AF"/>
    <w:rsid w:val="48E71441"/>
    <w:rsid w:val="49476224"/>
    <w:rsid w:val="494B0A69"/>
    <w:rsid w:val="4AAF4B40"/>
    <w:rsid w:val="4B91479E"/>
    <w:rsid w:val="4C742BD3"/>
    <w:rsid w:val="4CD90FCB"/>
    <w:rsid w:val="4CF51418"/>
    <w:rsid w:val="4D720779"/>
    <w:rsid w:val="4F174515"/>
    <w:rsid w:val="50417091"/>
    <w:rsid w:val="50B415E5"/>
    <w:rsid w:val="50C601ED"/>
    <w:rsid w:val="5175579F"/>
    <w:rsid w:val="52DB4869"/>
    <w:rsid w:val="52F32C2E"/>
    <w:rsid w:val="538415E0"/>
    <w:rsid w:val="538C5F06"/>
    <w:rsid w:val="54820579"/>
    <w:rsid w:val="555E7D76"/>
    <w:rsid w:val="556A1C36"/>
    <w:rsid w:val="557A467E"/>
    <w:rsid w:val="55F835EC"/>
    <w:rsid w:val="563665FD"/>
    <w:rsid w:val="56865837"/>
    <w:rsid w:val="5713760D"/>
    <w:rsid w:val="575E68D5"/>
    <w:rsid w:val="57963C64"/>
    <w:rsid w:val="57C06AC6"/>
    <w:rsid w:val="58584F50"/>
    <w:rsid w:val="586B4C84"/>
    <w:rsid w:val="59034EBC"/>
    <w:rsid w:val="5940699A"/>
    <w:rsid w:val="59477CF4"/>
    <w:rsid w:val="59B6124E"/>
    <w:rsid w:val="5A376DA5"/>
    <w:rsid w:val="5ACA142D"/>
    <w:rsid w:val="5C6D7693"/>
    <w:rsid w:val="5D7729DE"/>
    <w:rsid w:val="5DF30330"/>
    <w:rsid w:val="5E4C10B3"/>
    <w:rsid w:val="601572E7"/>
    <w:rsid w:val="60B92304"/>
    <w:rsid w:val="618925DC"/>
    <w:rsid w:val="62062134"/>
    <w:rsid w:val="6246104F"/>
    <w:rsid w:val="624C31A5"/>
    <w:rsid w:val="6331191B"/>
    <w:rsid w:val="63AA5960"/>
    <w:rsid w:val="648A6B79"/>
    <w:rsid w:val="64CE2822"/>
    <w:rsid w:val="65363F24"/>
    <w:rsid w:val="65616FF5"/>
    <w:rsid w:val="659841E1"/>
    <w:rsid w:val="66134265"/>
    <w:rsid w:val="661D62C6"/>
    <w:rsid w:val="670E300E"/>
    <w:rsid w:val="67D01C2B"/>
    <w:rsid w:val="67D07150"/>
    <w:rsid w:val="680E3D57"/>
    <w:rsid w:val="68B9340A"/>
    <w:rsid w:val="69C729D7"/>
    <w:rsid w:val="69FF347E"/>
    <w:rsid w:val="69FF522C"/>
    <w:rsid w:val="6A394BF4"/>
    <w:rsid w:val="6A8B39B6"/>
    <w:rsid w:val="6AAF0A00"/>
    <w:rsid w:val="6B110873"/>
    <w:rsid w:val="6B147755"/>
    <w:rsid w:val="6B6A054F"/>
    <w:rsid w:val="6CCC4204"/>
    <w:rsid w:val="6D156B14"/>
    <w:rsid w:val="6DC92771"/>
    <w:rsid w:val="6E007868"/>
    <w:rsid w:val="6E6B2E90"/>
    <w:rsid w:val="6FA759AE"/>
    <w:rsid w:val="70B940C4"/>
    <w:rsid w:val="70FA04FB"/>
    <w:rsid w:val="71A24E30"/>
    <w:rsid w:val="71D376CA"/>
    <w:rsid w:val="72495C32"/>
    <w:rsid w:val="73373C88"/>
    <w:rsid w:val="73EE03E6"/>
    <w:rsid w:val="74034E50"/>
    <w:rsid w:val="743B50B2"/>
    <w:rsid w:val="74A04EF2"/>
    <w:rsid w:val="76144336"/>
    <w:rsid w:val="767568EF"/>
    <w:rsid w:val="76B659EF"/>
    <w:rsid w:val="774502E9"/>
    <w:rsid w:val="779D1929"/>
    <w:rsid w:val="785030F6"/>
    <w:rsid w:val="79091C23"/>
    <w:rsid w:val="79097BD7"/>
    <w:rsid w:val="79770E12"/>
    <w:rsid w:val="79852458"/>
    <w:rsid w:val="79A56CF3"/>
    <w:rsid w:val="79CE0777"/>
    <w:rsid w:val="7A5E230C"/>
    <w:rsid w:val="7B115F89"/>
    <w:rsid w:val="7B5022EF"/>
    <w:rsid w:val="7B6100D8"/>
    <w:rsid w:val="7B8D3F56"/>
    <w:rsid w:val="7C9C4B5C"/>
    <w:rsid w:val="7D850B41"/>
    <w:rsid w:val="7D91755A"/>
    <w:rsid w:val="7F737698"/>
    <w:rsid w:val="7F8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"/>
    <w:basedOn w:val="1"/>
    <w:qFormat/>
    <w:uiPriority w:val="99"/>
    <w:pPr>
      <w:ind w:firstLine="480"/>
    </w:pPr>
    <w:rPr>
      <w:szCs w:val="24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footnote text"/>
    <w:basedOn w:val="1"/>
    <w:next w:val="1"/>
    <w:link w:val="17"/>
    <w:qFormat/>
    <w:uiPriority w:val="99"/>
    <w:pPr>
      <w:snapToGrid w:val="0"/>
      <w:jc w:val="left"/>
    </w:pPr>
    <w:rPr>
      <w:rFonts w:eastAsia="仿宋_GB2312" w:cs="宋体"/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styleId="9">
    <w:name w:val="Body Text First Indent 2"/>
    <w:next w:val="1"/>
    <w:qFormat/>
    <w:uiPriority w:val="0"/>
    <w:pPr>
      <w:widowControl w:val="0"/>
      <w:spacing w:line="560" w:lineRule="atLeast"/>
      <w:ind w:firstLine="420" w:firstLineChars="200"/>
      <w:jc w:val="both"/>
    </w:pPr>
    <w:rPr>
      <w:rFonts w:hint="eastAsia"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styleId="12">
    <w:name w:val="List Paragraph"/>
    <w:basedOn w:val="1"/>
    <w:next w:val="6"/>
    <w:qFormat/>
    <w:uiPriority w:val="34"/>
    <w:pPr>
      <w:ind w:firstLine="420" w:firstLineChars="200"/>
    </w:pPr>
  </w:style>
  <w:style w:type="character" w:customStyle="1" w:styleId="13">
    <w:name w:val="15"/>
    <w:basedOn w:val="11"/>
    <w:qFormat/>
    <w:uiPriority w:val="0"/>
    <w:rPr>
      <w:rFonts w:hint="default" w:ascii="Times New Roman" w:hAnsi="Times New Roman" w:cs="Times New Roman"/>
      <w:sz w:val="20"/>
      <w:szCs w:val="20"/>
    </w:rPr>
  </w:style>
  <w:style w:type="paragraph" w:customStyle="1" w:styleId="14">
    <w:name w:val="正 文"/>
    <w:basedOn w:val="1"/>
    <w:qFormat/>
    <w:uiPriority w:val="0"/>
    <w:pPr>
      <w:spacing w:line="360" w:lineRule="auto"/>
      <w:ind w:firstLine="560"/>
    </w:pPr>
    <w:rPr>
      <w:rFonts w:hint="eastAsia" w:ascii="宋体" w:hAnsi="宋体" w:eastAsia="仿宋_GB2312"/>
      <w:sz w:val="32"/>
      <w:szCs w:val="32"/>
    </w:rPr>
  </w:style>
  <w:style w:type="paragraph" w:customStyle="1" w:styleId="15">
    <w:name w:val="正  文"/>
    <w:basedOn w:val="1"/>
    <w:next w:val="1"/>
    <w:qFormat/>
    <w:uiPriority w:val="0"/>
    <w:pPr>
      <w:spacing w:line="360" w:lineRule="auto"/>
      <w:ind w:firstLine="560"/>
    </w:pPr>
    <w:rPr>
      <w:rFonts w:ascii="宋体" w:hAnsi="宋体" w:eastAsia="仿宋_GB2312" w:cs="仿宋_GB2312"/>
      <w:szCs w:val="28"/>
    </w:rPr>
  </w:style>
  <w:style w:type="character" w:customStyle="1" w:styleId="16">
    <w:name w:val="页脚 字符"/>
    <w:basedOn w:val="11"/>
    <w:link w:val="4"/>
    <w:qFormat/>
    <w:uiPriority w:val="99"/>
    <w:rPr>
      <w:kern w:val="2"/>
      <w:sz w:val="18"/>
      <w:szCs w:val="18"/>
    </w:rPr>
  </w:style>
  <w:style w:type="character" w:customStyle="1" w:styleId="17">
    <w:name w:val="脚注文本 字符"/>
    <w:basedOn w:val="11"/>
    <w:link w:val="7"/>
    <w:qFormat/>
    <w:uiPriority w:val="99"/>
    <w:rPr>
      <w:rFonts w:eastAsia="仿宋_GB2312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RC</Company>
  <Pages>18</Pages>
  <Words>10692</Words>
  <Characters>11306</Characters>
  <Lines>84</Lines>
  <Paragraphs>23</Paragraphs>
  <TotalTime>161</TotalTime>
  <ScaleCrop>false</ScaleCrop>
  <LinksUpToDate>false</LinksUpToDate>
  <CharactersWithSpaces>11309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2023-01-16T01:55:00Z</dcterms:created>
  <dc:creator>徐妍</dc:creator>
  <cp:lastModifiedBy>刘建辉</cp:lastModifiedBy>
  <cp:lastPrinted>2023-01-29T17:42:00Z</cp:lastPrinted>
  <dcterms:modified xsi:type="dcterms:W3CDTF">2023-06-28T08:49:00Z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C5EAC58BAE49420787A82212F30B7DDF</vt:lpwstr>
  </property>
</Properties>
</file>